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79" w:rsidRPr="00442215" w:rsidRDefault="00442215" w:rsidP="00442215">
      <w:pPr>
        <w:tabs>
          <w:tab w:val="left" w:pos="5175"/>
        </w:tabs>
        <w:spacing w:line="560" w:lineRule="exact"/>
        <w:ind w:firstLineChars="0" w:firstLine="0"/>
        <w:jc w:val="left"/>
        <w:rPr>
          <w:rFonts w:ascii="黑体" w:eastAsia="黑体" w:hAnsi="黑体"/>
          <w:sz w:val="44"/>
          <w:szCs w:val="44"/>
        </w:rPr>
      </w:pPr>
      <w:bookmarkStart w:id="0" w:name="_Hlk5280235"/>
      <w:r w:rsidRPr="00442215">
        <w:rPr>
          <w:rFonts w:ascii="黑体" w:eastAsia="黑体" w:hAnsi="黑体"/>
          <w:sz w:val="44"/>
          <w:szCs w:val="44"/>
        </w:rPr>
        <w:tab/>
      </w:r>
    </w:p>
    <w:p w:rsidR="003D45E9" w:rsidRPr="00442215" w:rsidRDefault="003D45E9" w:rsidP="000A04CB">
      <w:pPr>
        <w:spacing w:line="560" w:lineRule="exact"/>
        <w:ind w:firstLineChars="0" w:firstLine="0"/>
        <w:jc w:val="center"/>
        <w:rPr>
          <w:rFonts w:ascii="黑体" w:eastAsia="黑体" w:hAnsi="黑体"/>
          <w:sz w:val="44"/>
          <w:szCs w:val="44"/>
        </w:rPr>
      </w:pPr>
      <w:r w:rsidRPr="00442215">
        <w:rPr>
          <w:rFonts w:ascii="黑体" w:eastAsia="黑体" w:hAnsi="黑体" w:hint="eastAsia"/>
          <w:sz w:val="44"/>
          <w:szCs w:val="44"/>
        </w:rPr>
        <w:t>上海黄金交易所黄金资产管理业务</w:t>
      </w:r>
    </w:p>
    <w:p w:rsidR="003D45E9" w:rsidRPr="00442215" w:rsidRDefault="003D45E9" w:rsidP="000A04CB">
      <w:pPr>
        <w:spacing w:line="560" w:lineRule="exact"/>
        <w:ind w:firstLineChars="0" w:firstLine="0"/>
        <w:jc w:val="center"/>
        <w:rPr>
          <w:rFonts w:ascii="黑体" w:eastAsia="黑体" w:hAnsi="黑体"/>
          <w:sz w:val="44"/>
          <w:szCs w:val="44"/>
        </w:rPr>
      </w:pPr>
      <w:r w:rsidRPr="00442215">
        <w:rPr>
          <w:rFonts w:ascii="黑体" w:eastAsia="黑体" w:hAnsi="黑体" w:hint="eastAsia"/>
          <w:sz w:val="44"/>
          <w:szCs w:val="44"/>
        </w:rPr>
        <w:t>登记托管实施细则</w:t>
      </w:r>
    </w:p>
    <w:p w:rsidR="003D45E9" w:rsidRPr="009C6020" w:rsidRDefault="003D45E9" w:rsidP="003D45E9">
      <w:pPr>
        <w:adjustRightInd w:val="0"/>
        <w:snapToGrid w:val="0"/>
        <w:ind w:firstLine="643"/>
        <w:jc w:val="center"/>
        <w:rPr>
          <w:rFonts w:ascii="黑体" w:eastAsia="黑体" w:hAnsi="黑体"/>
          <w:b/>
          <w:szCs w:val="32"/>
        </w:rPr>
      </w:pPr>
    </w:p>
    <w:p w:rsidR="003D45E9" w:rsidRPr="00BF0C79"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BF0C79">
        <w:rPr>
          <w:rFonts w:ascii="黑体" w:eastAsia="黑体" w:hAnsi="黑体" w:hint="eastAsia"/>
          <w:b w:val="0"/>
          <w:color w:val="000000" w:themeColor="text1"/>
        </w:rPr>
        <w:t>总  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szCs w:val="32"/>
        </w:rPr>
        <w:t>为规范黄金资产</w:t>
      </w:r>
      <w:r w:rsidRPr="003C199F">
        <w:rPr>
          <w:rFonts w:ascii="仿宋" w:hAnsi="仿宋" w:hint="eastAsia"/>
          <w:color w:val="000000" w:themeColor="text1"/>
          <w:szCs w:val="32"/>
        </w:rPr>
        <w:t>管理业务的登记托管活动，按照《关于规范金融机构资产管理业务的指导意见》（银发〔2018〕106号）、《关于黄金资产管理业务有关事项的通知》（银办发〔2018〕</w:t>
      </w:r>
      <w:r w:rsidRPr="003C199F">
        <w:rPr>
          <w:rFonts w:ascii="仿宋" w:hAnsi="仿宋"/>
          <w:color w:val="000000" w:themeColor="text1"/>
          <w:szCs w:val="32"/>
        </w:rPr>
        <w:t>215</w:t>
      </w:r>
      <w:r w:rsidRPr="003C199F">
        <w:rPr>
          <w:rFonts w:ascii="仿宋" w:hAnsi="仿宋" w:hint="eastAsia"/>
          <w:color w:val="000000" w:themeColor="text1"/>
          <w:szCs w:val="32"/>
        </w:rPr>
        <w:t>号）的要求，制定本细则。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黄金资产管理业务的登记、托管适用于本细则。</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kern w:val="0"/>
          <w:szCs w:val="32"/>
        </w:rPr>
        <w:t>上海黄金交易所可根据市场发展情况，动态调整拟登记、托管黄金资产管理产品的类型（见附表1）。</w:t>
      </w:r>
    </w:p>
    <w:p w:rsidR="003D45E9" w:rsidRPr="003C199F" w:rsidRDefault="003D45E9" w:rsidP="00CF100B">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本细则</w:t>
      </w:r>
      <w:r w:rsidRPr="003C199F">
        <w:rPr>
          <w:rFonts w:ascii="仿宋" w:hAnsi="仿宋" w:hint="eastAsia"/>
          <w:color w:val="000000" w:themeColor="text1"/>
          <w:szCs w:val="32"/>
        </w:rPr>
        <w:t>所称</w:t>
      </w:r>
      <w:r w:rsidRPr="003C199F">
        <w:rPr>
          <w:rFonts w:ascii="仿宋" w:hAnsi="仿宋"/>
          <w:color w:val="000000" w:themeColor="text1"/>
          <w:szCs w:val="32"/>
        </w:rPr>
        <w:t>登记</w:t>
      </w:r>
      <w:r w:rsidRPr="003C199F">
        <w:rPr>
          <w:rFonts w:ascii="仿宋" w:hAnsi="仿宋" w:hint="eastAsia"/>
          <w:color w:val="000000" w:themeColor="text1"/>
          <w:szCs w:val="32"/>
        </w:rPr>
        <w:t>，</w:t>
      </w:r>
      <w:r w:rsidRPr="003C199F">
        <w:rPr>
          <w:rFonts w:ascii="仿宋" w:hAnsi="仿宋"/>
          <w:color w:val="000000" w:themeColor="text1"/>
          <w:szCs w:val="32"/>
        </w:rPr>
        <w:t>是指</w:t>
      </w:r>
      <w:r w:rsidRPr="003C199F">
        <w:rPr>
          <w:rFonts w:ascii="仿宋" w:hAnsi="仿宋" w:hint="eastAsia"/>
          <w:color w:val="000000" w:themeColor="text1"/>
          <w:szCs w:val="32"/>
        </w:rPr>
        <w:t>上海黄金交易所对黄金资产管理产品投资的实物黄金或黄金产品相关信息，以及黄金资产管理产品自身信息进行的</w:t>
      </w:r>
      <w:r w:rsidRPr="003C199F">
        <w:rPr>
          <w:rFonts w:ascii="仿宋" w:hAnsi="仿宋"/>
          <w:color w:val="000000" w:themeColor="text1"/>
          <w:szCs w:val="32"/>
        </w:rPr>
        <w:t>登记</w:t>
      </w:r>
      <w:r w:rsidRPr="003C199F">
        <w:rPr>
          <w:rFonts w:ascii="仿宋" w:hAnsi="仿宋" w:hint="eastAsia"/>
          <w:color w:val="000000" w:themeColor="text1"/>
          <w:szCs w:val="32"/>
        </w:rPr>
        <w:t>。黄金资产管理产品投资的实物黄金或黄金产品相关信息，是指实物黄金或黄金产品</w:t>
      </w:r>
      <w:r w:rsidRPr="003C199F">
        <w:rPr>
          <w:rFonts w:ascii="仿宋" w:hAnsi="仿宋"/>
          <w:color w:val="000000" w:themeColor="text1"/>
          <w:szCs w:val="32"/>
        </w:rPr>
        <w:t>的</w:t>
      </w:r>
      <w:r w:rsidRPr="003C199F">
        <w:rPr>
          <w:rFonts w:ascii="仿宋" w:hAnsi="仿宋" w:hint="eastAsia"/>
          <w:color w:val="000000" w:themeColor="text1"/>
          <w:szCs w:val="32"/>
        </w:rPr>
        <w:t>基本属性、余额及变动情况等。黄金资产管理产品自身信息，是指黄金资产管理产品的基本信息、业务数据以及投资者情况等。</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实物黄金包括但不限于</w:t>
      </w:r>
      <w:r w:rsidRPr="003C199F">
        <w:rPr>
          <w:rFonts w:ascii="仿宋" w:hAnsi="仿宋" w:hint="eastAsia"/>
          <w:color w:val="000000" w:themeColor="text1"/>
          <w:szCs w:val="32"/>
        </w:rPr>
        <w:t>上海黄金交易所</w:t>
      </w:r>
      <w:r w:rsidR="007760A9">
        <w:rPr>
          <w:rFonts w:ascii="仿宋" w:hAnsi="仿宋" w:hint="eastAsia"/>
          <w:color w:val="000000" w:themeColor="text1"/>
          <w:szCs w:val="32"/>
        </w:rPr>
        <w:t>实物黄金</w:t>
      </w:r>
      <w:r w:rsidRPr="003C199F">
        <w:rPr>
          <w:rFonts w:ascii="仿宋" w:hAnsi="仿宋" w:hint="eastAsia"/>
          <w:color w:val="000000" w:themeColor="text1"/>
          <w:szCs w:val="32"/>
        </w:rPr>
        <w:t>现货产品，以及各种规格、样式的金条、金锭、金币、黄金艺术品等类型</w:t>
      </w:r>
      <w:r w:rsidR="007760A9">
        <w:rPr>
          <w:rFonts w:ascii="仿宋" w:hAnsi="仿宋" w:hint="eastAsia"/>
          <w:color w:val="000000" w:themeColor="text1"/>
          <w:szCs w:val="32"/>
        </w:rPr>
        <w:t>实物黄金</w:t>
      </w:r>
      <w:r w:rsidRPr="003C199F">
        <w:rPr>
          <w:rFonts w:ascii="仿宋" w:hAnsi="仿宋" w:hint="eastAsia"/>
          <w:color w:val="000000" w:themeColor="text1"/>
          <w:szCs w:val="32"/>
        </w:rPr>
        <w:t>。</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lastRenderedPageBreak/>
        <w:t>黄金产品包括但不限于上海黄金交易所黄金延期交收产品，金融机构黄金积存、黄金定投、黄金拆借、黄金租赁、黄金质押等产品，黄金E</w:t>
      </w:r>
      <w:r w:rsidRPr="003C199F">
        <w:rPr>
          <w:rFonts w:ascii="仿宋" w:hAnsi="仿宋"/>
          <w:color w:val="000000" w:themeColor="text1"/>
          <w:szCs w:val="32"/>
        </w:rPr>
        <w:t>TF</w:t>
      </w:r>
      <w:r w:rsidRPr="003C199F">
        <w:rPr>
          <w:rFonts w:ascii="仿宋" w:hAnsi="仿宋" w:hint="eastAsia"/>
          <w:color w:val="000000" w:themeColor="text1"/>
          <w:szCs w:val="32"/>
        </w:rPr>
        <w:t>、黄金E</w:t>
      </w:r>
      <w:r w:rsidRPr="003C199F">
        <w:rPr>
          <w:rFonts w:ascii="仿宋" w:hAnsi="仿宋"/>
          <w:color w:val="000000" w:themeColor="text1"/>
          <w:szCs w:val="32"/>
        </w:rPr>
        <w:t>TF联接基金</w:t>
      </w:r>
      <w:r w:rsidRPr="003C199F">
        <w:rPr>
          <w:rFonts w:ascii="仿宋" w:hAnsi="仿宋" w:hint="eastAsia"/>
          <w:color w:val="000000" w:themeColor="text1"/>
          <w:szCs w:val="32"/>
        </w:rPr>
        <w:t>等黄金资产管理产品，以及黄金期货、期权、远期、掉期等黄金衍生品。</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本细则</w:t>
      </w:r>
      <w:r w:rsidRPr="003C199F">
        <w:rPr>
          <w:rFonts w:ascii="仿宋" w:hAnsi="仿宋" w:hint="eastAsia"/>
          <w:color w:val="000000" w:themeColor="text1"/>
          <w:szCs w:val="32"/>
        </w:rPr>
        <w:t>所称托管，</w:t>
      </w:r>
      <w:r w:rsidRPr="003C199F">
        <w:rPr>
          <w:rFonts w:ascii="仿宋" w:hAnsi="仿宋"/>
          <w:color w:val="000000" w:themeColor="text1"/>
          <w:szCs w:val="32"/>
        </w:rPr>
        <w:t>是指</w:t>
      </w:r>
      <w:r w:rsidRPr="003C199F">
        <w:rPr>
          <w:rFonts w:ascii="仿宋" w:hAnsi="仿宋" w:hint="eastAsia"/>
          <w:color w:val="000000" w:themeColor="text1"/>
          <w:szCs w:val="32"/>
        </w:rPr>
        <w:t>上海黄金交易所对黄金资产管理产品投资并存放于上海黄金交易所的实物黄金进行的托管。</w:t>
      </w:r>
    </w:p>
    <w:p w:rsidR="003D45E9"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本细则所称黄金资产管理业务登记托管系统，是指上海黄金交易所建设的信息化系统，可提供黄金资产管理业务登记托管服务，也可提供相关统计和查询服务。</w:t>
      </w:r>
    </w:p>
    <w:p w:rsidR="00DF7CC4" w:rsidRDefault="00DF7CC4" w:rsidP="00CF100B">
      <w:pPr>
        <w:pStyle w:val="a3"/>
        <w:adjustRightInd w:val="0"/>
        <w:snapToGrid w:val="0"/>
        <w:spacing w:line="60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登记托管账户</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上海黄金交易所为黄金资产管理产品所投资实物黄金或黄金产品开立独立的登记托管账户；为提供实物黄金登记托管服务的金融机构（以下简称“登记托管机构”）开立总登记账户</w:t>
      </w:r>
      <w:r w:rsidRPr="003C199F">
        <w:rPr>
          <w:rFonts w:ascii="仿宋" w:hAnsi="仿宋"/>
          <w:color w:val="000000" w:themeColor="text1"/>
          <w:szCs w:val="32"/>
        </w:rPr>
        <w:t>。</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登记托管账户以电子簿记方式记录黄金资产管理产品投资的实物黄金或黄金产品的相关信息，以及黄金资产管理产品的自身信息。</w:t>
      </w:r>
    </w:p>
    <w:p w:rsidR="003D45E9"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总登记账户以电子簿记方式记录登记托管机构所登记托管实物黄金的汇总情况。</w:t>
      </w:r>
    </w:p>
    <w:p w:rsidR="00DF7CC4" w:rsidRDefault="00DF7CC4" w:rsidP="003D45E9">
      <w:pPr>
        <w:adjustRightInd w:val="0"/>
        <w:snapToGrid w:val="0"/>
        <w:spacing w:line="600" w:lineRule="exact"/>
        <w:ind w:firstLine="64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lastRenderedPageBreak/>
        <w:t>登  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或管理黄金资产管理产品的金融机构（以下简称“发行管理机构”），须在中国证券登记结算有限公司或银行业理财登记托管中心等行业登记机构进行产品登记的，应同时在所在行业登记机构及上海黄金交易所进行登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应在上海黄金交易所登记黄金资产管理产品自身信息。黄金资产管理产品投资于实物黄金的，发行管理机构可在上海黄金交易所或登记托管机构登记实物黄金相关信息。黄金资产管理产品投资于黄金产品的，发行管理机构应在上海黄金交易所登记黄金产品相关信息。</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登记托管机构应在上海黄金交易所登记本机构所登记托管的实物黄金汇总情况，并明确所托管实物黄金对应的黄金资产管理产品。</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发行管理机构、登记托管机构首次登记前，应在黄金资产管理业务登记托管系统完成注册。注册完成后，黄金资产管理业务登记托管系统为发行管理机构、登记托管机构分配相应权限。办理注册应提供如下材料：</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（一）《上海黄金交易所黄金资产管理业务登记托管系统机构注册表》（见附表2，加盖公章，分支机构或部门可加盖分支机构或部门章）；</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（二）中国人民银行等金融监督管理部门要求的其他文件。</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发行管理机构停止黄金资产管理产品的发行或管</w:t>
      </w:r>
      <w:r w:rsidRPr="003C199F">
        <w:rPr>
          <w:rFonts w:ascii="仿宋" w:hAnsi="仿宋" w:hint="eastAsia"/>
          <w:color w:val="000000" w:themeColor="text1"/>
          <w:szCs w:val="32"/>
        </w:rPr>
        <w:lastRenderedPageBreak/>
        <w:t>理、登记托管机构停止提供黄金资产管理产品登记托管服务的，应在停止相关业务后的1个月内告知上海黄金交易所。</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发行管理机构、登记托管机构连续六个月未进行登记的，上海黄金交易所有权在黄金资产管理业务登记托管系统关闭相关权限。</w:t>
      </w:r>
      <w:bookmarkStart w:id="1" w:name="_Hlk5018493"/>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bookmarkStart w:id="2" w:name="_Hlk5018544"/>
      <w:r w:rsidRPr="003C199F">
        <w:rPr>
          <w:rFonts w:ascii="仿宋" w:hAnsi="仿宋" w:hint="eastAsia"/>
          <w:color w:val="000000" w:themeColor="text1"/>
          <w:szCs w:val="32"/>
        </w:rPr>
        <w:t>发行管理机构在黄金资产管理产品发行前十个工作日内，应通过黄金资产管理业务登记托管系统完成拟发行产品基本信息的初始登记。</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已按所在行业法律法规或相关办法要求，在行业监管部门、登记机构或行业协会等完成产品的登记、注册或备案，并取得拟发行产品的登记、注册或备案编码的（以下简称“产品编码”），初始登记时填写已取得的产品编码。</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所在行业无产品登记、注册或备案要求，拟发行产品无法取得相应产品编码的，应在黄金资产管理业务登记托管系统完成基本信息的初始登记，获得黄金资产管理业务登记托管系统分配的黄金资产管理产品编码，并在产品说明书显著位置标注。</w:t>
      </w:r>
    </w:p>
    <w:bookmarkEnd w:id="1"/>
    <w:bookmarkEnd w:id="2"/>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办理初始登记时，发行管理机构需在黄金资产管理业务登记托管系统中提交拟发行产品的产品说明书，以及拟与投资者签订的相关协议。</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黄金资产管理产品基本信息在产品存续期间内发生变化的，发行管理机构应在发生变化后的十个工作日内，通过</w:t>
      </w:r>
      <w:r w:rsidRPr="003C199F">
        <w:rPr>
          <w:rFonts w:ascii="仿宋" w:hAnsi="仿宋" w:hint="eastAsia"/>
          <w:color w:val="000000" w:themeColor="text1"/>
          <w:szCs w:val="32"/>
        </w:rPr>
        <w:lastRenderedPageBreak/>
        <w:t>黄金资产管理业务登记托管系统办理基本信息的变更登记。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stheme="majorBidi" w:hint="eastAsia"/>
          <w:bCs/>
          <w:color w:val="000000" w:themeColor="text1"/>
          <w:szCs w:val="32"/>
        </w:rPr>
        <w:t>黄金资产管理产品撤销、提前终止或到期的，</w:t>
      </w:r>
      <w:r w:rsidRPr="003C199F">
        <w:rPr>
          <w:rFonts w:ascii="仿宋" w:hAnsi="仿宋" w:hint="eastAsia"/>
          <w:color w:val="000000" w:themeColor="text1"/>
          <w:szCs w:val="32"/>
        </w:rPr>
        <w:t>发行管理机构应在产品</w:t>
      </w:r>
      <w:r w:rsidRPr="003C199F">
        <w:rPr>
          <w:rFonts w:ascii="仿宋" w:hAnsi="仿宋" w:cstheme="majorBidi" w:hint="eastAsia"/>
          <w:bCs/>
          <w:color w:val="000000" w:themeColor="text1"/>
          <w:szCs w:val="32"/>
        </w:rPr>
        <w:t>撤销、提前终止或到期后的</w:t>
      </w:r>
      <w:r w:rsidRPr="003C199F">
        <w:rPr>
          <w:rFonts w:ascii="仿宋" w:hAnsi="仿宋" w:cstheme="majorBidi"/>
          <w:bCs/>
          <w:color w:val="000000" w:themeColor="text1"/>
          <w:szCs w:val="32"/>
        </w:rPr>
        <w:t>1个月内，</w:t>
      </w:r>
      <w:r w:rsidRPr="003C199F">
        <w:rPr>
          <w:rFonts w:ascii="仿宋" w:hAnsi="仿宋" w:hint="eastAsia"/>
          <w:color w:val="000000" w:themeColor="text1"/>
          <w:szCs w:val="32"/>
        </w:rPr>
        <w:t>通过黄金资产管理业务登记托管系统办理该</w:t>
      </w:r>
      <w:r w:rsidRPr="003C199F">
        <w:rPr>
          <w:rFonts w:ascii="仿宋" w:hAnsi="仿宋" w:cstheme="majorBidi" w:hint="eastAsia"/>
          <w:bCs/>
          <w:color w:val="000000" w:themeColor="text1"/>
          <w:szCs w:val="32"/>
        </w:rPr>
        <w:t>黄金资产管理产品的终止登记</w:t>
      </w:r>
      <w:r w:rsidRPr="003C199F">
        <w:rPr>
          <w:rFonts w:ascii="仿宋" w:hAnsi="仿宋" w:hint="eastAsia"/>
          <w:color w:val="000000" w:themeColor="text1"/>
          <w:szCs w:val="32"/>
        </w:rPr>
        <w:t>。黄金资产管理产品取得产品编码后</w:t>
      </w:r>
      <w:r w:rsidRPr="003C199F">
        <w:rPr>
          <w:rFonts w:ascii="仿宋" w:hAnsi="仿宋"/>
          <w:color w:val="000000" w:themeColor="text1"/>
          <w:szCs w:val="32"/>
        </w:rPr>
        <w:t>6</w:t>
      </w:r>
      <w:r w:rsidRPr="003C199F">
        <w:rPr>
          <w:rFonts w:ascii="仿宋" w:hAnsi="仿宋" w:hint="eastAsia"/>
          <w:color w:val="000000" w:themeColor="text1"/>
          <w:szCs w:val="32"/>
        </w:rPr>
        <w:t>个月内尚未成立且未办理终止登记的，上海黄金交易所有权注销产品编码。</w:t>
      </w:r>
    </w:p>
    <w:p w:rsidR="003D45E9"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黄金资产管理产品投资的实物黄金或黄金产品相关信息</w:t>
      </w:r>
      <w:r w:rsidRPr="003C199F">
        <w:rPr>
          <w:rFonts w:ascii="仿宋" w:hAnsi="仿宋"/>
          <w:color w:val="000000" w:themeColor="text1"/>
          <w:szCs w:val="32"/>
        </w:rPr>
        <w:t>,</w:t>
      </w:r>
      <w:r w:rsidRPr="003C199F">
        <w:rPr>
          <w:rFonts w:ascii="仿宋" w:hAnsi="仿宋" w:hint="eastAsia"/>
          <w:color w:val="000000" w:themeColor="text1"/>
          <w:szCs w:val="32"/>
        </w:rPr>
        <w:t>以及黄金资产管理产品自身信息的具体登记内容和登记方式，以黄金资产管理业务登记托管系统相关规范为准。</w:t>
      </w:r>
    </w:p>
    <w:p w:rsidR="003C199F" w:rsidRPr="003C199F" w:rsidRDefault="003C199F" w:rsidP="003C199F">
      <w:pPr>
        <w:pStyle w:val="a3"/>
        <w:adjustRightInd w:val="0"/>
        <w:snapToGrid w:val="0"/>
        <w:spacing w:line="60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托  管</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上海黄金交易所依托自有实物黄金仓储、交割体系，通过独立的登记托管账户，实现对黄金资产管理产品投资于上海黄金交易所实物黄金的直接托管，</w:t>
      </w:r>
      <w:r w:rsidRPr="003C199F">
        <w:rPr>
          <w:rFonts w:ascii="仿宋" w:hAnsi="仿宋"/>
          <w:color w:val="000000" w:themeColor="text1"/>
          <w:szCs w:val="32"/>
        </w:rPr>
        <w:t>并履行如下</w:t>
      </w:r>
      <w:r w:rsidRPr="003C199F">
        <w:rPr>
          <w:rFonts w:ascii="仿宋" w:hAnsi="仿宋" w:hint="eastAsia"/>
          <w:color w:val="000000" w:themeColor="text1"/>
          <w:szCs w:val="32"/>
        </w:rPr>
        <w:t>职责：</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保障托管实物黄金的安全；</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按规定监督发行管理机构对托管实物黄金的运用；</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按照产品说明书或与投资者签署的相关协议的约定，根据发行管理机构的投资指令，及时办理托管实物黄金的租借、交割等业务;</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中国人民银行等金融监督管理部门规定的其他职责。</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上海黄金交易所所托管实物黄金的相关仓储、出入库等业务，按照上海黄金交易所实物黄金仓储、交割体系的有</w:t>
      </w:r>
      <w:r w:rsidRPr="003C199F">
        <w:rPr>
          <w:rFonts w:ascii="仿宋" w:hAnsi="仿宋" w:hint="eastAsia"/>
          <w:color w:val="000000" w:themeColor="text1"/>
          <w:szCs w:val="32"/>
        </w:rPr>
        <w:lastRenderedPageBreak/>
        <w:t>关规定执行。</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发行管理机构应就黄金资产管理产品投资实物黄金的托管事项，在与投资者签订的相关协议中明确自身与投资者、上海黄金交易所三方之间的委托关系。</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发行管理机构对托管在上海黄金交易所实物黄金的运用方式，应与向黄金资产管理产品投资者展示的产品说明书、与投资者签署的相关协议中的内容保持一致。</w:t>
      </w:r>
    </w:p>
    <w:p w:rsidR="003D45E9"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托管在登记托管机构的实物黄金办理转托管，发行管理机构应在上海黄金交易所办理相应变更手续。</w:t>
      </w:r>
    </w:p>
    <w:p w:rsidR="003C199F" w:rsidRPr="003C199F" w:rsidRDefault="003C199F" w:rsidP="003C199F">
      <w:pPr>
        <w:pStyle w:val="a3"/>
        <w:adjustRightInd w:val="0"/>
        <w:snapToGrid w:val="0"/>
        <w:spacing w:line="56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信息保密与公开</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上海黄金交易所对所登记托管的信息负有保密义务，未经发行管理机构或登记托管机构许可，不得向第三方透露，</w:t>
      </w:r>
      <w:r w:rsidRPr="003C199F">
        <w:rPr>
          <w:rFonts w:ascii="仿宋" w:hAnsi="仿宋"/>
          <w:color w:val="000000" w:themeColor="text1"/>
          <w:szCs w:val="32"/>
        </w:rPr>
        <w:t>下列情形除外</w:t>
      </w:r>
      <w:r w:rsidRPr="003C199F">
        <w:rPr>
          <w:rFonts w:ascii="仿宋" w:hAnsi="仿宋" w:hint="eastAsia"/>
          <w:color w:val="000000" w:themeColor="text1"/>
          <w:szCs w:val="32"/>
        </w:rPr>
        <w:t>：</w:t>
      </w:r>
    </w:p>
    <w:p w:rsidR="003D45E9" w:rsidRPr="003C199F" w:rsidRDefault="003D45E9" w:rsidP="003D45E9">
      <w:pPr>
        <w:pStyle w:val="a3"/>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（一）向中国人民银行等</w:t>
      </w:r>
      <w:r w:rsidR="00B63553"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报送登记托管相关信息的；</w:t>
      </w:r>
    </w:p>
    <w:p w:rsidR="003D45E9" w:rsidRPr="003C199F" w:rsidRDefault="003D45E9" w:rsidP="003D45E9">
      <w:pPr>
        <w:pStyle w:val="a3"/>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（二）依人民法院、人民检察院、公安等国家机关执行</w:t>
      </w:r>
      <w:r w:rsidRPr="003C199F">
        <w:rPr>
          <w:rFonts w:ascii="仿宋" w:hAnsi="仿宋"/>
          <w:color w:val="000000" w:themeColor="text1"/>
          <w:szCs w:val="32"/>
        </w:rPr>
        <w:t>法律</w:t>
      </w:r>
      <w:r w:rsidRPr="003C199F">
        <w:rPr>
          <w:rFonts w:ascii="仿宋" w:hAnsi="仿宋" w:hint="eastAsia"/>
          <w:color w:val="000000" w:themeColor="text1"/>
          <w:szCs w:val="32"/>
        </w:rPr>
        <w:t>的要求，需配合提供相关信息的；</w:t>
      </w:r>
    </w:p>
    <w:p w:rsidR="003D45E9" w:rsidRPr="003C199F" w:rsidRDefault="003D45E9" w:rsidP="003D45E9">
      <w:pPr>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（三）与发行管理机构所在行业登记机构依照法律</w:t>
      </w:r>
      <w:r w:rsidRPr="003C199F">
        <w:rPr>
          <w:rFonts w:ascii="仿宋" w:hAnsi="仿宋"/>
          <w:color w:val="000000" w:themeColor="text1"/>
          <w:szCs w:val="32"/>
        </w:rPr>
        <w:t>法规</w:t>
      </w:r>
      <w:r w:rsidRPr="003C199F">
        <w:rPr>
          <w:rFonts w:ascii="仿宋" w:hAnsi="仿宋" w:hint="eastAsia"/>
          <w:color w:val="000000" w:themeColor="text1"/>
          <w:szCs w:val="32"/>
        </w:rPr>
        <w:t>共享相关行业黄金资产管理产品登记托管信息的；</w:t>
      </w:r>
    </w:p>
    <w:p w:rsidR="003D45E9" w:rsidRPr="003C199F" w:rsidRDefault="003D45E9" w:rsidP="003D45E9">
      <w:pPr>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（四）按中国人民银行等</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、相关法律法规要求，在官方网站等渠道开展黄金资产管理产品的信息披露和信息公开工作的。</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lastRenderedPageBreak/>
        <w:t>按本细则履行登记托管职责的黄金资产管理</w:t>
      </w:r>
      <w:r w:rsidR="00B63553">
        <w:rPr>
          <w:rFonts w:ascii="仿宋" w:hAnsi="仿宋" w:hint="eastAsia"/>
          <w:color w:val="000000" w:themeColor="text1"/>
          <w:szCs w:val="32"/>
        </w:rPr>
        <w:t>产品</w:t>
      </w:r>
      <w:r w:rsidRPr="003C199F">
        <w:rPr>
          <w:rFonts w:ascii="仿宋" w:hAnsi="仿宋" w:hint="eastAsia"/>
          <w:color w:val="000000" w:themeColor="text1"/>
          <w:szCs w:val="32"/>
        </w:rPr>
        <w:t>发行管理机构、登记托管机构，可通过黄金资产管理业务登记托管系统，查询上海黄金交易所提供的黄金资产管理业务相关统计数据或分析报告。</w:t>
      </w:r>
    </w:p>
    <w:p w:rsidR="003D45E9" w:rsidRDefault="003D45E9" w:rsidP="003D45E9">
      <w:pPr>
        <w:pStyle w:val="a3"/>
        <w:widowControl/>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上海黄金交易所应妥善保存黄金资产管理产品及所投资实物黄金、黄金产品的相关信息，保存期限应符合</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的相关规定。</w:t>
      </w:r>
    </w:p>
    <w:p w:rsidR="003C199F" w:rsidRPr="003C199F" w:rsidRDefault="003C199F" w:rsidP="003C199F">
      <w:pPr>
        <w:pStyle w:val="a3"/>
        <w:widowControl/>
        <w:adjustRightInd w:val="0"/>
        <w:snapToGrid w:val="0"/>
        <w:spacing w:line="56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附  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上海黄金交易所负责</w:t>
      </w:r>
      <w:r w:rsidRPr="003C199F">
        <w:rPr>
          <w:rFonts w:ascii="仿宋" w:hAnsi="仿宋"/>
          <w:color w:val="000000" w:themeColor="text1"/>
          <w:szCs w:val="32"/>
        </w:rPr>
        <w:t>制定黄金资产管理业务登记托管的业务规范</w:t>
      </w:r>
      <w:r w:rsidRPr="003C199F">
        <w:rPr>
          <w:rFonts w:ascii="仿宋" w:hAnsi="仿宋" w:hint="eastAsia"/>
          <w:color w:val="000000" w:themeColor="text1"/>
          <w:szCs w:val="32"/>
        </w:rPr>
        <w:t>、</w:t>
      </w:r>
      <w:r w:rsidRPr="003C199F">
        <w:rPr>
          <w:rFonts w:ascii="仿宋" w:hAnsi="仿宋"/>
          <w:color w:val="000000" w:themeColor="text1"/>
          <w:szCs w:val="32"/>
        </w:rPr>
        <w:t>技术标准，优化相关业务流程，</w:t>
      </w:r>
      <w:r w:rsidRPr="003C199F">
        <w:rPr>
          <w:rFonts w:ascii="仿宋" w:hAnsi="仿宋" w:hint="eastAsia"/>
          <w:color w:val="000000" w:themeColor="text1"/>
          <w:szCs w:val="32"/>
        </w:rPr>
        <w:t>组织</w:t>
      </w:r>
      <w:r w:rsidRPr="003C199F">
        <w:rPr>
          <w:rFonts w:ascii="仿宋" w:hAnsi="仿宋"/>
          <w:color w:val="000000" w:themeColor="text1"/>
          <w:szCs w:val="32"/>
        </w:rPr>
        <w:t>实施</w:t>
      </w:r>
      <w:r w:rsidRPr="003C199F">
        <w:rPr>
          <w:rFonts w:ascii="仿宋" w:hAnsi="仿宋" w:hint="eastAsia"/>
          <w:color w:val="000000" w:themeColor="text1"/>
          <w:szCs w:val="32"/>
        </w:rPr>
        <w:t>黄金资产管理业务登记托管系统</w:t>
      </w:r>
      <w:r w:rsidRPr="003C199F">
        <w:rPr>
          <w:rFonts w:ascii="仿宋" w:hAnsi="仿宋"/>
          <w:color w:val="000000" w:themeColor="text1"/>
          <w:szCs w:val="32"/>
        </w:rPr>
        <w:t>建设</w:t>
      </w:r>
      <w:r w:rsidRPr="003C199F">
        <w:rPr>
          <w:rFonts w:ascii="仿宋" w:hAnsi="仿宋" w:hint="eastAsia"/>
          <w:color w:val="000000" w:themeColor="text1"/>
          <w:szCs w:val="32"/>
        </w:rPr>
        <w:t>。相关系统操作指南、数据元规范以及接口规范等另行发布。</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上海黄金交易所对发行管理机构、登记托管机构提交的登记托管信息及相关材料进行形式审查，发行管理机构、登记托管机构应确保登记托管信息的真实、有效、完整，并对所提交的相关材料负责。</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发行管理机构、登记托管机构，如有违反本细则的，上海黄金交易所可采取公开谴责、上报</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等管理措施，并将保留追责权利。</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本细则由上海黄金交易所负责解释、修订。</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本细则自</w:t>
      </w:r>
      <w:r w:rsidR="00AD5179">
        <w:rPr>
          <w:rFonts w:ascii="仿宋" w:hAnsi="仿宋" w:hint="eastAsia"/>
          <w:color w:val="000000" w:themeColor="text1"/>
          <w:szCs w:val="32"/>
        </w:rPr>
        <w:t>发布之日</w:t>
      </w:r>
      <w:r w:rsidRPr="003C199F">
        <w:rPr>
          <w:rFonts w:ascii="仿宋" w:hAnsi="仿宋" w:hint="eastAsia"/>
          <w:color w:val="000000" w:themeColor="text1"/>
          <w:szCs w:val="32"/>
        </w:rPr>
        <w:t>起生效。自生效之日起，新发</w:t>
      </w:r>
      <w:r w:rsidRPr="003C199F">
        <w:rPr>
          <w:rFonts w:ascii="仿宋" w:hAnsi="仿宋" w:hint="eastAsia"/>
          <w:color w:val="000000" w:themeColor="text1"/>
          <w:szCs w:val="32"/>
        </w:rPr>
        <w:lastRenderedPageBreak/>
        <w:t>行的黄金资产管理产品应按本细则要求进行登记托管；已发行的黄金资产管理产品，如在本细则生效之日起9</w:t>
      </w:r>
      <w:r w:rsidRPr="003C199F">
        <w:rPr>
          <w:rFonts w:ascii="仿宋" w:hAnsi="仿宋"/>
          <w:color w:val="000000" w:themeColor="text1"/>
          <w:szCs w:val="32"/>
        </w:rPr>
        <w:t>0</w:t>
      </w:r>
      <w:r w:rsidRPr="003C199F">
        <w:rPr>
          <w:rFonts w:ascii="仿宋" w:hAnsi="仿宋" w:hint="eastAsia"/>
          <w:color w:val="000000" w:themeColor="text1"/>
          <w:szCs w:val="32"/>
        </w:rPr>
        <w:t>天后仍存续的，应按本细则要求进行登记托管。</w:t>
      </w:r>
    </w:p>
    <w:p w:rsidR="00C06FE3" w:rsidRDefault="00C06FE3">
      <w:pPr>
        <w:widowControl/>
        <w:spacing w:line="240" w:lineRule="auto"/>
        <w:ind w:firstLineChars="0" w:firstLine="0"/>
        <w:jc w:val="left"/>
        <w:rPr>
          <w:rFonts w:ascii="仿宋" w:hAnsi="仿宋"/>
          <w:color w:val="000000" w:themeColor="text1"/>
          <w:sz w:val="30"/>
          <w:szCs w:val="30"/>
        </w:rPr>
      </w:pPr>
      <w:r>
        <w:rPr>
          <w:rFonts w:ascii="仿宋" w:hAnsi="仿宋"/>
          <w:color w:val="000000" w:themeColor="text1"/>
          <w:sz w:val="30"/>
          <w:szCs w:val="30"/>
        </w:rPr>
        <w:br w:type="page"/>
      </w:r>
    </w:p>
    <w:p w:rsidR="003D45E9" w:rsidRPr="00A37B84" w:rsidRDefault="003D45E9" w:rsidP="003D45E9">
      <w:pPr>
        <w:ind w:firstLineChars="0" w:firstLine="0"/>
        <w:rPr>
          <w:rFonts w:ascii="仿宋" w:hAnsi="仿宋"/>
          <w:color w:val="000000" w:themeColor="text1"/>
          <w:sz w:val="30"/>
          <w:szCs w:val="30"/>
        </w:rPr>
      </w:pPr>
      <w:r w:rsidRPr="00A37B84">
        <w:rPr>
          <w:rFonts w:ascii="仿宋" w:hAnsi="仿宋" w:hint="eastAsia"/>
          <w:color w:val="000000" w:themeColor="text1"/>
          <w:sz w:val="30"/>
          <w:szCs w:val="30"/>
        </w:rPr>
        <w:lastRenderedPageBreak/>
        <w:t>附表1</w:t>
      </w:r>
    </w:p>
    <w:p w:rsidR="003D45E9" w:rsidRPr="0024556A" w:rsidRDefault="003D45E9" w:rsidP="003D45E9">
      <w:pPr>
        <w:ind w:firstLine="640"/>
        <w:rPr>
          <w:rFonts w:ascii="仿宋" w:hAnsi="仿宋"/>
          <w:color w:val="000000" w:themeColor="text1"/>
          <w:szCs w:val="32"/>
        </w:rPr>
      </w:pPr>
    </w:p>
    <w:p w:rsidR="003D45E9" w:rsidRPr="000A04CB" w:rsidRDefault="003D45E9" w:rsidP="00FB3A77">
      <w:pPr>
        <w:ind w:firstLineChars="0" w:firstLine="0"/>
        <w:jc w:val="center"/>
        <w:rPr>
          <w:rFonts w:ascii="黑体" w:eastAsia="黑体" w:hAnsi="黑体"/>
          <w:color w:val="000000" w:themeColor="text1"/>
          <w:sz w:val="36"/>
          <w:szCs w:val="36"/>
        </w:rPr>
      </w:pPr>
      <w:r w:rsidRPr="000A04CB">
        <w:rPr>
          <w:rFonts w:ascii="黑体" w:eastAsia="黑体" w:hAnsi="黑体"/>
          <w:color w:val="000000" w:themeColor="text1"/>
          <w:sz w:val="36"/>
          <w:szCs w:val="36"/>
        </w:rPr>
        <w:t>黄金资产管理产品类型</w:t>
      </w:r>
      <w:r w:rsidRPr="000A04CB">
        <w:rPr>
          <w:rFonts w:ascii="黑体" w:eastAsia="黑体" w:hAnsi="黑体" w:hint="eastAsia"/>
          <w:color w:val="000000" w:themeColor="text1"/>
          <w:sz w:val="36"/>
          <w:szCs w:val="36"/>
        </w:rPr>
        <w:t>表</w:t>
      </w:r>
    </w:p>
    <w:p w:rsidR="003D45E9" w:rsidRPr="0024556A" w:rsidRDefault="003D45E9" w:rsidP="003D45E9">
      <w:pPr>
        <w:ind w:firstLine="640"/>
        <w:jc w:val="center"/>
        <w:rPr>
          <w:rFonts w:ascii="仿宋" w:hAnsi="仿宋"/>
          <w:color w:val="000000" w:themeColor="text1"/>
          <w:szCs w:val="32"/>
        </w:rPr>
      </w:pPr>
    </w:p>
    <w:tbl>
      <w:tblPr>
        <w:tblStyle w:val="ad"/>
        <w:tblW w:w="9639" w:type="dxa"/>
        <w:tblInd w:w="-572" w:type="dxa"/>
        <w:tblLook w:val="04A0" w:firstRow="1" w:lastRow="0" w:firstColumn="1" w:lastColumn="0" w:noHBand="0" w:noVBand="1"/>
      </w:tblPr>
      <w:tblGrid>
        <w:gridCol w:w="993"/>
        <w:gridCol w:w="4819"/>
        <w:gridCol w:w="3827"/>
      </w:tblGrid>
      <w:tr w:rsidR="003D45E9" w:rsidRPr="00A37B84" w:rsidTr="000A04CB">
        <w:tc>
          <w:tcPr>
            <w:tcW w:w="993" w:type="dxa"/>
          </w:tcPr>
          <w:p w:rsidR="003D45E9" w:rsidRPr="00A37B84" w:rsidRDefault="003D45E9" w:rsidP="003D45E9">
            <w:pPr>
              <w:ind w:firstLineChars="0" w:firstLine="0"/>
              <w:jc w:val="center"/>
              <w:rPr>
                <w:rFonts w:ascii="仿宋" w:hAnsi="仿宋"/>
                <w:color w:val="000000" w:themeColor="text1"/>
                <w:sz w:val="30"/>
                <w:szCs w:val="30"/>
              </w:rPr>
            </w:pPr>
            <w:r>
              <w:rPr>
                <w:rFonts w:ascii="仿宋" w:hAnsi="仿宋" w:hint="eastAsia"/>
                <w:color w:val="000000" w:themeColor="text1"/>
                <w:sz w:val="30"/>
                <w:szCs w:val="30"/>
              </w:rPr>
              <w:t>编号</w:t>
            </w:r>
          </w:p>
        </w:tc>
        <w:tc>
          <w:tcPr>
            <w:tcW w:w="4819" w:type="dxa"/>
          </w:tcPr>
          <w:p w:rsidR="003D45E9" w:rsidRPr="00A37B84" w:rsidRDefault="003D45E9" w:rsidP="000A04CB">
            <w:pPr>
              <w:ind w:firstLine="600"/>
              <w:jc w:val="center"/>
              <w:rPr>
                <w:rFonts w:ascii="仿宋" w:hAnsi="仿宋"/>
                <w:color w:val="000000" w:themeColor="text1"/>
                <w:sz w:val="30"/>
                <w:szCs w:val="30"/>
              </w:rPr>
            </w:pPr>
            <w:r w:rsidRPr="00A37B84">
              <w:rPr>
                <w:rFonts w:ascii="仿宋" w:hAnsi="仿宋"/>
                <w:color w:val="000000" w:themeColor="text1"/>
                <w:sz w:val="30"/>
                <w:szCs w:val="30"/>
              </w:rPr>
              <w:t>类型</w:t>
            </w:r>
          </w:p>
        </w:tc>
        <w:tc>
          <w:tcPr>
            <w:tcW w:w="3827" w:type="dxa"/>
          </w:tcPr>
          <w:p w:rsidR="003D45E9" w:rsidRPr="00A37B84" w:rsidRDefault="003D45E9" w:rsidP="000A04CB">
            <w:pPr>
              <w:ind w:firstLine="600"/>
              <w:jc w:val="center"/>
              <w:rPr>
                <w:rFonts w:ascii="仿宋" w:hAnsi="仿宋"/>
                <w:color w:val="000000" w:themeColor="text1"/>
                <w:sz w:val="30"/>
                <w:szCs w:val="30"/>
              </w:rPr>
            </w:pPr>
            <w:r w:rsidRPr="00A37B84">
              <w:rPr>
                <w:rFonts w:ascii="仿宋" w:hAnsi="仿宋"/>
                <w:color w:val="000000" w:themeColor="text1"/>
                <w:sz w:val="30"/>
                <w:szCs w:val="30"/>
              </w:rPr>
              <w:t>发行管理机构</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r w:rsidRPr="00A37B84">
              <w:rPr>
                <w:rFonts w:ascii="仿宋" w:hAnsi="仿宋" w:hint="eastAsia"/>
                <w:sz w:val="30"/>
                <w:szCs w:val="30"/>
              </w:rPr>
              <w:t>1</w:t>
            </w:r>
          </w:p>
        </w:tc>
        <w:tc>
          <w:tcPr>
            <w:tcW w:w="4819" w:type="dxa"/>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黄金E</w:t>
            </w:r>
            <w:r w:rsidRPr="00A37B84">
              <w:rPr>
                <w:rFonts w:ascii="仿宋" w:hAnsi="仿宋"/>
                <w:sz w:val="30"/>
                <w:szCs w:val="30"/>
              </w:rPr>
              <w:t>TF</w:t>
            </w:r>
            <w:r w:rsidRPr="00A37B84">
              <w:rPr>
                <w:rFonts w:ascii="仿宋" w:hAnsi="仿宋" w:hint="eastAsia"/>
                <w:sz w:val="30"/>
                <w:szCs w:val="30"/>
              </w:rPr>
              <w:t>（交易所交易基金）、黄金E</w:t>
            </w:r>
            <w:r w:rsidRPr="00A37B84">
              <w:rPr>
                <w:rFonts w:ascii="仿宋" w:hAnsi="仿宋"/>
                <w:sz w:val="30"/>
                <w:szCs w:val="30"/>
              </w:rPr>
              <w:t>TF联接基金</w:t>
            </w:r>
          </w:p>
        </w:tc>
        <w:tc>
          <w:tcPr>
            <w:tcW w:w="3827" w:type="dxa"/>
            <w:vAlign w:val="center"/>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基金公司</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r w:rsidRPr="00A37B84">
              <w:rPr>
                <w:rFonts w:ascii="仿宋" w:hAnsi="仿宋"/>
                <w:sz w:val="30"/>
                <w:szCs w:val="30"/>
              </w:rPr>
              <w:t>2</w:t>
            </w:r>
          </w:p>
        </w:tc>
        <w:tc>
          <w:tcPr>
            <w:tcW w:w="4819" w:type="dxa"/>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黄金理财产品</w:t>
            </w:r>
          </w:p>
        </w:tc>
        <w:tc>
          <w:tcPr>
            <w:tcW w:w="3827" w:type="dxa"/>
            <w:vAlign w:val="center"/>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商业银行等金融机构</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bl>
    <w:p w:rsidR="006652E9" w:rsidRDefault="006652E9">
      <w:pPr>
        <w:widowControl/>
        <w:spacing w:line="240" w:lineRule="auto"/>
        <w:ind w:firstLineChars="0" w:firstLine="0"/>
        <w:jc w:val="left"/>
        <w:rPr>
          <w:rFonts w:ascii="仿宋" w:hAnsi="仿宋"/>
          <w:szCs w:val="32"/>
        </w:rPr>
      </w:pPr>
      <w:r>
        <w:rPr>
          <w:rFonts w:ascii="仿宋" w:hAnsi="仿宋"/>
          <w:szCs w:val="32"/>
        </w:rPr>
        <w:br w:type="page"/>
      </w:r>
    </w:p>
    <w:p w:rsidR="000C7441" w:rsidRPr="000C7441" w:rsidRDefault="000C7441" w:rsidP="000C7441">
      <w:pPr>
        <w:ind w:firstLineChars="0" w:firstLine="0"/>
        <w:rPr>
          <w:rFonts w:ascii="仿宋" w:hAnsi="仿宋" w:cs="Times New Roman"/>
          <w:sz w:val="30"/>
          <w:szCs w:val="30"/>
        </w:rPr>
      </w:pPr>
      <w:bookmarkStart w:id="3" w:name="_Hlk5282217"/>
      <w:bookmarkStart w:id="4" w:name="_Hlk535395518"/>
      <w:bookmarkEnd w:id="0"/>
      <w:r w:rsidRPr="000C7441">
        <w:rPr>
          <w:rFonts w:ascii="仿宋" w:hAnsi="仿宋" w:cs="Times New Roman" w:hint="eastAsia"/>
          <w:sz w:val="30"/>
          <w:szCs w:val="30"/>
        </w:rPr>
        <w:lastRenderedPageBreak/>
        <w:t>附表2</w:t>
      </w:r>
    </w:p>
    <w:p w:rsidR="000C7441" w:rsidRPr="000C7441" w:rsidRDefault="000C7441" w:rsidP="000C7441">
      <w:pPr>
        <w:spacing w:line="560" w:lineRule="exact"/>
        <w:ind w:firstLineChars="0" w:firstLine="0"/>
        <w:jc w:val="center"/>
        <w:rPr>
          <w:rFonts w:ascii="黑体" w:eastAsia="黑体" w:hAnsi="黑体"/>
          <w:sz w:val="36"/>
          <w:szCs w:val="36"/>
        </w:rPr>
      </w:pPr>
      <w:bookmarkStart w:id="5" w:name="_Hlk5279759"/>
      <w:r w:rsidRPr="000C7441">
        <w:rPr>
          <w:rFonts w:ascii="黑体" w:eastAsia="黑体" w:hAnsi="黑体" w:hint="eastAsia"/>
          <w:sz w:val="36"/>
          <w:szCs w:val="36"/>
        </w:rPr>
        <w:t>上海黄金交易所黄金资产管理业务登记托管系统</w:t>
      </w:r>
    </w:p>
    <w:p w:rsidR="000C7441" w:rsidRDefault="000C7441" w:rsidP="000C7441">
      <w:pPr>
        <w:spacing w:line="560" w:lineRule="exact"/>
        <w:ind w:firstLineChars="0" w:firstLine="0"/>
        <w:jc w:val="center"/>
        <w:rPr>
          <w:rFonts w:ascii="黑体" w:eastAsia="黑体" w:hAnsi="黑体"/>
          <w:sz w:val="36"/>
          <w:szCs w:val="36"/>
        </w:rPr>
      </w:pPr>
      <w:r w:rsidRPr="000C7441">
        <w:rPr>
          <w:rFonts w:ascii="黑体" w:eastAsia="黑体" w:hAnsi="黑体" w:hint="eastAsia"/>
          <w:sz w:val="36"/>
          <w:szCs w:val="36"/>
        </w:rPr>
        <w:t>机构注册表</w:t>
      </w:r>
    </w:p>
    <w:p w:rsidR="000C7441" w:rsidRPr="000C7441" w:rsidRDefault="000C7441" w:rsidP="000C7441">
      <w:pPr>
        <w:spacing w:line="560" w:lineRule="exact"/>
        <w:ind w:firstLineChars="0" w:firstLine="0"/>
        <w:jc w:val="center"/>
        <w:rPr>
          <w:rFonts w:ascii="黑体" w:eastAsia="黑体" w:hAnsi="黑体"/>
          <w:sz w:val="36"/>
          <w:szCs w:val="36"/>
        </w:rPr>
      </w:pPr>
    </w:p>
    <w:tbl>
      <w:tblPr>
        <w:tblW w:w="9073"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1"/>
        <w:gridCol w:w="10"/>
        <w:gridCol w:w="2375"/>
        <w:gridCol w:w="25"/>
        <w:gridCol w:w="1199"/>
        <w:gridCol w:w="927"/>
        <w:gridCol w:w="117"/>
        <w:gridCol w:w="660"/>
        <w:gridCol w:w="1609"/>
      </w:tblGrid>
      <w:tr w:rsidR="000C7441" w:rsidRPr="000C7441" w:rsidTr="00772FF6">
        <w:trPr>
          <w:trHeight w:val="454"/>
        </w:trPr>
        <w:tc>
          <w:tcPr>
            <w:tcW w:w="9073" w:type="dxa"/>
            <w:gridSpan w:val="9"/>
            <w:shd w:val="clear" w:color="auto" w:fill="auto"/>
            <w:vAlign w:val="center"/>
          </w:tcPr>
          <w:bookmarkEnd w:id="5"/>
          <w:p w:rsidR="000C7441" w:rsidRPr="000C7441" w:rsidRDefault="000C7441" w:rsidP="000C7441">
            <w:pPr>
              <w:spacing w:line="240" w:lineRule="auto"/>
              <w:ind w:firstLineChars="0" w:firstLine="0"/>
              <w:jc w:val="center"/>
              <w:rPr>
                <w:rFonts w:ascii="Times New Roman" w:hAnsi="Times New Roman" w:cs="Times New Roman"/>
                <w:b/>
                <w:sz w:val="21"/>
                <w:szCs w:val="24"/>
              </w:rPr>
            </w:pPr>
            <w:r w:rsidRPr="000C7441">
              <w:rPr>
                <w:rFonts w:ascii="楷体" w:eastAsia="楷体" w:hAnsi="楷体" w:cs="楷体" w:hint="eastAsia"/>
                <w:b/>
                <w:sz w:val="24"/>
                <w:szCs w:val="24"/>
              </w:rPr>
              <w:t>机构基本信息</w:t>
            </w: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机构全称</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kern w:val="0"/>
                <w:sz w:val="24"/>
                <w:szCs w:val="24"/>
              </w:rPr>
            </w:pPr>
            <w:r w:rsidRPr="000C7441">
              <w:rPr>
                <w:rFonts w:ascii="仿宋" w:hAnsi="仿宋" w:cs="仿宋" w:hint="eastAsia"/>
                <w:kern w:val="0"/>
                <w:sz w:val="24"/>
                <w:szCs w:val="24"/>
              </w:rPr>
              <w:t>机构简称（选填）</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注册地址</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统一社会信用代码</w:t>
            </w:r>
          </w:p>
        </w:tc>
        <w:tc>
          <w:tcPr>
            <w:tcW w:w="3599"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r w:rsidRPr="000C7441">
              <w:rPr>
                <w:rFonts w:ascii="仿宋" w:hAnsi="仿宋" w:cs="仿宋" w:hint="eastAsia"/>
                <w:kern w:val="0"/>
                <w:sz w:val="24"/>
                <w:szCs w:val="24"/>
              </w:rPr>
              <w:t xml:space="preserve">       </w:t>
            </w:r>
          </w:p>
        </w:tc>
        <w:tc>
          <w:tcPr>
            <w:tcW w:w="1704"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法定代表人</w:t>
            </w:r>
          </w:p>
        </w:tc>
        <w:tc>
          <w:tcPr>
            <w:tcW w:w="1609"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通讯地址</w:t>
            </w:r>
          </w:p>
        </w:tc>
        <w:tc>
          <w:tcPr>
            <w:tcW w:w="3599"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c>
          <w:tcPr>
            <w:tcW w:w="1704"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邮政编码</w:t>
            </w:r>
          </w:p>
        </w:tc>
        <w:tc>
          <w:tcPr>
            <w:tcW w:w="1609"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楷体" w:eastAsia="楷体" w:hAnsi="楷体" w:cs="楷体"/>
                <w:color w:val="000000"/>
                <w:kern w:val="0"/>
                <w:sz w:val="24"/>
                <w:szCs w:val="24"/>
              </w:rPr>
            </w:pPr>
            <w:r w:rsidRPr="000C7441">
              <w:rPr>
                <w:rFonts w:ascii="仿宋" w:hAnsi="仿宋" w:cs="仿宋" w:hint="eastAsia"/>
                <w:kern w:val="0"/>
                <w:sz w:val="24"/>
                <w:szCs w:val="24"/>
              </w:rPr>
              <w:t>机构类型</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0"/>
              <w:rPr>
                <w:rFonts w:ascii="楷体" w:eastAsia="楷体" w:hAnsi="楷体" w:cs="楷体"/>
                <w:color w:val="000000"/>
                <w:kern w:val="0"/>
                <w:sz w:val="24"/>
                <w:szCs w:val="24"/>
              </w:rPr>
            </w:pP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 xml:space="preserve">发行管理机构 </w:t>
            </w:r>
            <w:r w:rsidRPr="000C7441">
              <w:rPr>
                <w:rFonts w:ascii="仿宋" w:hAnsi="仿宋" w:cs="仿宋"/>
                <w:color w:val="000000"/>
                <w:kern w:val="0"/>
                <w:sz w:val="24"/>
                <w:szCs w:val="24"/>
              </w:rPr>
              <w:t xml:space="preserve"> </w:t>
            </w:r>
            <w:r w:rsidRPr="000C7441">
              <w:rPr>
                <w:rFonts w:ascii="仿宋" w:hAnsi="仿宋" w:cs="仿宋" w:hint="eastAsia"/>
                <w:color w:val="000000"/>
                <w:kern w:val="0"/>
                <w:sz w:val="24"/>
                <w:szCs w:val="24"/>
              </w:rPr>
              <w:t xml:space="preserve"> </w:t>
            </w: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 xml:space="preserve">登记托管机构 </w:t>
            </w:r>
            <w:r w:rsidRPr="000C7441">
              <w:rPr>
                <w:rFonts w:ascii="仿宋" w:hAnsi="仿宋" w:cs="仿宋"/>
                <w:color w:val="000000"/>
                <w:kern w:val="0"/>
                <w:sz w:val="24"/>
                <w:szCs w:val="24"/>
              </w:rPr>
              <w:t xml:space="preserve">  </w:t>
            </w: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其他</w:t>
            </w:r>
            <w:r w:rsidRPr="000C7441">
              <w:rPr>
                <w:rFonts w:ascii="仿宋" w:hAnsi="仿宋" w:cs="仿宋" w:hint="eastAsia"/>
                <w:color w:val="000000"/>
                <w:kern w:val="0"/>
                <w:sz w:val="24"/>
                <w:szCs w:val="24"/>
                <w:u w:val="single"/>
              </w:rPr>
              <w:t xml:space="preserve"> </w:t>
            </w:r>
            <w:r w:rsidRPr="000C7441">
              <w:rPr>
                <w:rFonts w:ascii="仿宋" w:hAnsi="仿宋" w:cs="仿宋"/>
                <w:color w:val="000000"/>
                <w:kern w:val="0"/>
                <w:sz w:val="24"/>
                <w:szCs w:val="24"/>
                <w:u w:val="single"/>
              </w:rPr>
              <w:t xml:space="preserve">     </w:t>
            </w:r>
          </w:p>
        </w:tc>
      </w:tr>
      <w:tr w:rsidR="000C7441" w:rsidRPr="000C7441" w:rsidTr="00772FF6">
        <w:trPr>
          <w:trHeight w:val="454"/>
        </w:trPr>
        <w:tc>
          <w:tcPr>
            <w:tcW w:w="9073" w:type="dxa"/>
            <w:gridSpan w:val="9"/>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Times New Roman" w:hAnsi="Times New Roman" w:cs="Times New Roman"/>
                <w:b/>
                <w:kern w:val="0"/>
                <w:sz w:val="24"/>
                <w:szCs w:val="24"/>
              </w:rPr>
            </w:pPr>
            <w:r w:rsidRPr="000C7441">
              <w:rPr>
                <w:rFonts w:ascii="楷体" w:eastAsia="楷体" w:hAnsi="楷体" w:cs="楷体" w:hint="eastAsia"/>
                <w:b/>
                <w:bCs/>
                <w:sz w:val="24"/>
                <w:szCs w:val="24"/>
              </w:rPr>
              <w:t>联系人信息</w:t>
            </w:r>
          </w:p>
        </w:tc>
      </w:tr>
      <w:tr w:rsidR="000C7441" w:rsidRPr="000C7441" w:rsidTr="00772FF6">
        <w:trPr>
          <w:trHeight w:val="454"/>
        </w:trPr>
        <w:tc>
          <w:tcPr>
            <w:tcW w:w="2151" w:type="dxa"/>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联系人</w:t>
            </w:r>
          </w:p>
        </w:tc>
        <w:tc>
          <w:tcPr>
            <w:tcW w:w="2410" w:type="dxa"/>
            <w:gridSpan w:val="3"/>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联系方式</w:t>
            </w:r>
          </w:p>
        </w:tc>
        <w:tc>
          <w:tcPr>
            <w:tcW w:w="2126" w:type="dxa"/>
            <w:gridSpan w:val="2"/>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传真</w:t>
            </w:r>
          </w:p>
        </w:tc>
        <w:tc>
          <w:tcPr>
            <w:tcW w:w="2386" w:type="dxa"/>
            <w:gridSpan w:val="3"/>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Times New Roman" w:hAnsi="Times New Roman" w:cs="Times New Roman" w:hint="eastAsia"/>
                <w:color w:val="000000"/>
                <w:kern w:val="0"/>
                <w:sz w:val="24"/>
                <w:szCs w:val="24"/>
              </w:rPr>
              <w:t>电子</w:t>
            </w:r>
            <w:r w:rsidRPr="000C7441">
              <w:rPr>
                <w:rFonts w:ascii="Times New Roman" w:hAnsi="Times New Roman" w:cs="Times New Roman"/>
                <w:color w:val="000000"/>
                <w:kern w:val="0"/>
                <w:sz w:val="24"/>
                <w:szCs w:val="24"/>
              </w:rPr>
              <w:t>邮箱</w:t>
            </w:r>
          </w:p>
        </w:tc>
      </w:tr>
      <w:tr w:rsidR="000C7441" w:rsidRPr="000C7441" w:rsidTr="00772FF6">
        <w:trPr>
          <w:trHeight w:val="380"/>
        </w:trPr>
        <w:tc>
          <w:tcPr>
            <w:tcW w:w="2151"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410"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126"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386"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r>
      <w:tr w:rsidR="000C7441" w:rsidRPr="000C7441" w:rsidTr="00772FF6">
        <w:trPr>
          <w:trHeight w:val="454"/>
        </w:trPr>
        <w:tc>
          <w:tcPr>
            <w:tcW w:w="9073" w:type="dxa"/>
            <w:gridSpan w:val="9"/>
            <w:shd w:val="clear" w:color="auto" w:fill="auto"/>
            <w:vAlign w:val="center"/>
          </w:tcPr>
          <w:p w:rsidR="000C7441" w:rsidRPr="000C7441" w:rsidRDefault="000C7441" w:rsidP="000C7441">
            <w:pPr>
              <w:autoSpaceDE w:val="0"/>
              <w:autoSpaceDN w:val="0"/>
              <w:adjustRightInd w:val="0"/>
              <w:spacing w:line="240" w:lineRule="auto"/>
              <w:ind w:firstLineChars="0" w:firstLine="0"/>
              <w:jc w:val="left"/>
              <w:rPr>
                <w:rFonts w:ascii="Times New Roman" w:hAnsi="Times New Roman" w:cs="Times New Roman"/>
                <w:kern w:val="0"/>
                <w:sz w:val="24"/>
                <w:szCs w:val="24"/>
              </w:rPr>
            </w:pPr>
            <w:r w:rsidRPr="000C7441">
              <w:rPr>
                <w:rFonts w:ascii="楷体" w:eastAsia="楷体" w:hAnsi="楷体" w:cs="楷体" w:hint="eastAsia"/>
                <w:b/>
                <w:bCs/>
                <w:kern w:val="0"/>
                <w:sz w:val="24"/>
                <w:szCs w:val="24"/>
              </w:rPr>
              <w:t>机构承诺事项：</w:t>
            </w:r>
          </w:p>
        </w:tc>
      </w:tr>
      <w:tr w:rsidR="000C7441" w:rsidRPr="000C7441" w:rsidTr="00772FF6">
        <w:trPr>
          <w:trHeight w:val="3272"/>
        </w:trPr>
        <w:tc>
          <w:tcPr>
            <w:tcW w:w="9073" w:type="dxa"/>
            <w:gridSpan w:val="9"/>
            <w:shd w:val="clear" w:color="auto" w:fill="auto"/>
          </w:tcPr>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r w:rsidRPr="000C7441">
              <w:rPr>
                <w:rFonts w:ascii="仿宋" w:hAnsi="仿宋" w:cs="Times New Roman" w:hint="eastAsia"/>
                <w:kern w:val="0"/>
                <w:sz w:val="24"/>
                <w:szCs w:val="24"/>
              </w:rPr>
              <w:t>1.本单位保证提供的所有资料真实、完整、准确；</w:t>
            </w:r>
          </w:p>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r w:rsidRPr="000C7441">
              <w:rPr>
                <w:rFonts w:ascii="仿宋" w:hAnsi="仿宋" w:cs="Times New Roman" w:hint="eastAsia"/>
                <w:kern w:val="0"/>
                <w:sz w:val="24"/>
                <w:szCs w:val="24"/>
              </w:rPr>
              <w:t>2</w:t>
            </w:r>
            <w:r w:rsidRPr="000C7441">
              <w:rPr>
                <w:rFonts w:ascii="仿宋" w:hAnsi="仿宋" w:cs="Times New Roman"/>
                <w:kern w:val="0"/>
                <w:sz w:val="24"/>
                <w:szCs w:val="24"/>
              </w:rPr>
              <w:t>.</w:t>
            </w:r>
            <w:r w:rsidRPr="000C7441">
              <w:rPr>
                <w:rFonts w:ascii="仿宋" w:hAnsi="仿宋" w:cs="Times New Roman" w:hint="eastAsia"/>
                <w:kern w:val="0"/>
                <w:sz w:val="24"/>
                <w:szCs w:val="24"/>
              </w:rPr>
              <w:t>如有违反《关于黄金资产管理业务有关事项的通知》（银办发〔2018〕215号）和《上海黄金交易所黄金资产管理业务登记托管实施细则》相关规定的，本单位愿承担相应的法律责任。</w:t>
            </w:r>
          </w:p>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p>
          <w:p w:rsidR="000C7441" w:rsidRDefault="000C7441" w:rsidP="00DA012B">
            <w:pPr>
              <w:spacing w:line="240" w:lineRule="auto"/>
              <w:ind w:firstLineChars="1400" w:firstLine="3360"/>
              <w:contextualSpacing/>
              <w:jc w:val="left"/>
              <w:rPr>
                <w:rFonts w:ascii="仿宋" w:hAnsi="仿宋" w:cs="Times New Roman"/>
                <w:sz w:val="24"/>
                <w:szCs w:val="24"/>
              </w:rPr>
            </w:pPr>
            <w:r w:rsidRPr="000C7441">
              <w:rPr>
                <w:rFonts w:ascii="仿宋" w:hAnsi="仿宋" w:cs="Times New Roman" w:hint="eastAsia"/>
                <w:sz w:val="24"/>
                <w:szCs w:val="24"/>
              </w:rPr>
              <w:t>机构（公章）：</w:t>
            </w:r>
            <w:r w:rsidRPr="000C7441">
              <w:rPr>
                <w:rFonts w:ascii="仿宋" w:hAnsi="仿宋" w:cs="Times New Roman"/>
                <w:sz w:val="24"/>
                <w:szCs w:val="24"/>
              </w:rPr>
              <w:t xml:space="preserve">                         </w:t>
            </w:r>
          </w:p>
          <w:p w:rsidR="000C7441" w:rsidRDefault="000C7441" w:rsidP="00DA012B">
            <w:pPr>
              <w:spacing w:line="240" w:lineRule="auto"/>
              <w:ind w:firstLineChars="1400" w:firstLine="3360"/>
              <w:contextualSpacing/>
              <w:jc w:val="left"/>
              <w:rPr>
                <w:rFonts w:ascii="仿宋" w:hAnsi="仿宋" w:cs="Times New Roman"/>
                <w:sz w:val="21"/>
                <w:szCs w:val="24"/>
              </w:rPr>
            </w:pPr>
            <w:r w:rsidRPr="000C7441">
              <w:rPr>
                <w:rFonts w:ascii="仿宋" w:hAnsi="仿宋" w:cs="Times New Roman" w:hint="eastAsia"/>
                <w:sz w:val="24"/>
                <w:szCs w:val="24"/>
              </w:rPr>
              <w:t>机构法定代表人或授权代表签章：</w:t>
            </w:r>
            <w:r w:rsidRPr="000C7441">
              <w:rPr>
                <w:rFonts w:ascii="仿宋" w:hAnsi="仿宋" w:cs="Times New Roman"/>
                <w:sz w:val="21"/>
                <w:szCs w:val="24"/>
              </w:rPr>
              <w:t xml:space="preserve">            </w:t>
            </w:r>
          </w:p>
          <w:p w:rsidR="000C7441" w:rsidRPr="000C7441" w:rsidRDefault="000C7441" w:rsidP="000C7441">
            <w:pPr>
              <w:autoSpaceDE w:val="0"/>
              <w:autoSpaceDN w:val="0"/>
              <w:adjustRightInd w:val="0"/>
              <w:spacing w:line="240" w:lineRule="auto"/>
              <w:ind w:firstLineChars="0" w:firstLine="0"/>
              <w:rPr>
                <w:rFonts w:ascii="仿宋" w:hAnsi="仿宋" w:cs="宋体"/>
                <w:color w:val="000000"/>
                <w:kern w:val="0"/>
                <w:sz w:val="24"/>
                <w:szCs w:val="24"/>
              </w:rPr>
            </w:pPr>
            <w:r w:rsidRPr="000C7441">
              <w:rPr>
                <w:rFonts w:ascii="仿宋" w:hAnsi="仿宋" w:cs="宋体" w:hint="eastAsia"/>
                <w:color w:val="000000"/>
                <w:kern w:val="0"/>
                <w:sz w:val="24"/>
                <w:szCs w:val="24"/>
              </w:rPr>
              <w:t xml:space="preserve">                              </w:t>
            </w:r>
            <w:r w:rsidRPr="000C7441">
              <w:rPr>
                <w:rFonts w:ascii="仿宋" w:hAnsi="仿宋" w:cs="宋体"/>
                <w:color w:val="000000"/>
                <w:kern w:val="0"/>
                <w:sz w:val="24"/>
                <w:szCs w:val="24"/>
              </w:rPr>
              <w:t xml:space="preserve">            </w:t>
            </w:r>
            <w:r w:rsidRPr="000C7441">
              <w:rPr>
                <w:rFonts w:ascii="仿宋" w:hAnsi="仿宋" w:cs="宋体" w:hint="eastAsia"/>
                <w:color w:val="000000"/>
                <w:kern w:val="0"/>
                <w:sz w:val="24"/>
                <w:szCs w:val="24"/>
              </w:rPr>
              <w:t xml:space="preserve">       </w:t>
            </w:r>
            <w:r w:rsidRPr="000C7441">
              <w:rPr>
                <w:rFonts w:ascii="仿宋" w:hAnsi="仿宋" w:cs="宋体"/>
                <w:color w:val="000000"/>
                <w:kern w:val="0"/>
                <w:sz w:val="24"/>
                <w:szCs w:val="24"/>
              </w:rPr>
              <w:t>年     月     日</w:t>
            </w: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宋体"/>
                <w:color w:val="000000"/>
                <w:kern w:val="0"/>
                <w:sz w:val="24"/>
                <w:szCs w:val="24"/>
              </w:rPr>
            </w:pPr>
            <w:r w:rsidRPr="000C7441">
              <w:rPr>
                <w:rFonts w:ascii="Times New Roman" w:hAnsi="Times New Roman" w:cs="Times New Roman"/>
                <w:kern w:val="0"/>
                <w:sz w:val="24"/>
                <w:szCs w:val="24"/>
              </w:rPr>
              <w:t>经办人</w:t>
            </w:r>
          </w:p>
        </w:tc>
        <w:tc>
          <w:tcPr>
            <w:tcW w:w="2375" w:type="dxa"/>
            <w:shd w:val="clear" w:color="auto" w:fill="auto"/>
            <w:vAlign w:val="center"/>
          </w:tcPr>
          <w:p w:rsidR="000C7441" w:rsidRPr="000C7441" w:rsidRDefault="000C7441" w:rsidP="000C7441">
            <w:pPr>
              <w:autoSpaceDE w:val="0"/>
              <w:autoSpaceDN w:val="0"/>
              <w:adjustRightInd w:val="0"/>
              <w:spacing w:line="240" w:lineRule="auto"/>
              <w:ind w:firstLineChars="0" w:firstLine="460"/>
              <w:jc w:val="center"/>
              <w:rPr>
                <w:rFonts w:ascii="仿宋" w:hAnsi="仿宋" w:cs="宋体"/>
                <w:color w:val="000000"/>
                <w:kern w:val="0"/>
                <w:sz w:val="24"/>
                <w:szCs w:val="24"/>
              </w:rPr>
            </w:pPr>
          </w:p>
        </w:tc>
        <w:tc>
          <w:tcPr>
            <w:tcW w:w="2268" w:type="dxa"/>
            <w:gridSpan w:val="4"/>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宋体"/>
                <w:color w:val="000000"/>
                <w:kern w:val="0"/>
                <w:sz w:val="24"/>
                <w:szCs w:val="24"/>
              </w:rPr>
            </w:pPr>
            <w:r w:rsidRPr="000C7441">
              <w:rPr>
                <w:rFonts w:ascii="Times New Roman" w:hAnsi="Times New Roman" w:cs="Times New Roman"/>
                <w:kern w:val="0"/>
                <w:sz w:val="24"/>
                <w:szCs w:val="24"/>
              </w:rPr>
              <w:t>联系电话</w:t>
            </w:r>
          </w:p>
        </w:tc>
        <w:tc>
          <w:tcPr>
            <w:tcW w:w="2269"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460"/>
              <w:jc w:val="center"/>
              <w:rPr>
                <w:rFonts w:ascii="仿宋" w:hAnsi="仿宋" w:cs="宋体"/>
                <w:color w:val="000000"/>
                <w:kern w:val="0"/>
                <w:sz w:val="24"/>
                <w:szCs w:val="24"/>
              </w:rPr>
            </w:pPr>
          </w:p>
        </w:tc>
      </w:tr>
      <w:bookmarkEnd w:id="3"/>
    </w:tbl>
    <w:p w:rsidR="00B77940" w:rsidRDefault="00B77940" w:rsidP="00BD597B">
      <w:pPr>
        <w:widowControl/>
        <w:spacing w:line="240" w:lineRule="auto"/>
        <w:ind w:firstLineChars="0" w:firstLine="0"/>
        <w:jc w:val="left"/>
        <w:rPr>
          <w:rFonts w:ascii="仿宋" w:hAnsi="仿宋"/>
          <w:szCs w:val="32"/>
        </w:rPr>
      </w:pPr>
    </w:p>
    <w:bookmarkEnd w:id="4"/>
    <w:p w:rsidR="00B77940" w:rsidRDefault="00B77940">
      <w:pPr>
        <w:widowControl/>
        <w:spacing w:line="240" w:lineRule="auto"/>
        <w:ind w:firstLineChars="0" w:firstLine="0"/>
        <w:jc w:val="left"/>
        <w:rPr>
          <w:rFonts w:ascii="仿宋" w:hAnsi="仿宋"/>
          <w:szCs w:val="32"/>
        </w:rPr>
      </w:pPr>
    </w:p>
    <w:sectPr w:rsidR="00B77940" w:rsidSect="00442215">
      <w:headerReference w:type="even" r:id="rId8"/>
      <w:headerReference w:type="default" r:id="rId9"/>
      <w:footerReference w:type="even" r:id="rId10"/>
      <w:footerReference w:type="default" r:id="rId11"/>
      <w:headerReference w:type="first" r:id="rId12"/>
      <w:footerReference w:type="first" r:id="rId13"/>
      <w:pgSz w:w="11906" w:h="16838"/>
      <w:pgMar w:top="1474" w:right="1531" w:bottom="2041" w:left="1531" w:header="720" w:footer="147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D1" w:rsidRDefault="00C250D1" w:rsidP="00981A02">
      <w:pPr>
        <w:spacing w:line="240" w:lineRule="auto"/>
        <w:ind w:firstLine="640"/>
      </w:pPr>
      <w:r>
        <w:separator/>
      </w:r>
    </w:p>
  </w:endnote>
  <w:endnote w:type="continuationSeparator" w:id="0">
    <w:p w:rsidR="00C250D1" w:rsidRDefault="00C250D1" w:rsidP="00981A0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displacedByCustomXml="next"/>
  <w:bookmarkEnd w:id="6" w:displacedByCustomXml="next"/>
  <w:sdt>
    <w:sdtPr>
      <w:id w:val="1495907930"/>
      <w:docPartObj>
        <w:docPartGallery w:val="Page Numbers (Bottom of Page)"/>
        <w:docPartUnique/>
      </w:docPartObj>
    </w:sdtPr>
    <w:sdtContent>
      <w:sdt>
        <w:sdtPr>
          <w:id w:val="-325437742"/>
          <w:docPartObj>
            <w:docPartGallery w:val="Page Numbers (Top of Page)"/>
            <w:docPartUnique/>
          </w:docPartObj>
        </w:sdtPr>
        <w:sdtContent>
          <w:p w:rsidR="00F87826" w:rsidRDefault="00F87826">
            <w:pPr>
              <w:pStyle w:val="a8"/>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A752E6" w:rsidRDefault="00C250D1" w:rsidP="00CF100B">
    <w:pPr>
      <w:pStyle w:val="a8"/>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28989"/>
      <w:docPartObj>
        <w:docPartGallery w:val="Page Numbers (Bottom of Page)"/>
        <w:docPartUnique/>
      </w:docPartObj>
    </w:sdtPr>
    <w:sdtContent>
      <w:sdt>
        <w:sdtPr>
          <w:id w:val="1728636285"/>
          <w:docPartObj>
            <w:docPartGallery w:val="Page Numbers (Top of Page)"/>
            <w:docPartUnique/>
          </w:docPartObj>
        </w:sdtPr>
        <w:sdtContent>
          <w:p w:rsidR="00F87600" w:rsidRDefault="00F87600">
            <w:pPr>
              <w:pStyle w:val="a8"/>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A752E6" w:rsidRDefault="00C250D1">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Default="0044221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D1" w:rsidRDefault="00C250D1" w:rsidP="00981A02">
      <w:pPr>
        <w:spacing w:line="240" w:lineRule="auto"/>
        <w:ind w:firstLine="640"/>
      </w:pPr>
      <w:r>
        <w:separator/>
      </w:r>
    </w:p>
  </w:footnote>
  <w:footnote w:type="continuationSeparator" w:id="0">
    <w:p w:rsidR="00C250D1" w:rsidRDefault="00C250D1" w:rsidP="00981A0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Pr="00442215" w:rsidRDefault="00442215" w:rsidP="00442215">
    <w:pPr>
      <w:ind w:left="64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Pr="00442215" w:rsidRDefault="00442215" w:rsidP="00442215">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Default="00442215">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58F1"/>
    <w:multiLevelType w:val="hybridMultilevel"/>
    <w:tmpl w:val="D6483854"/>
    <w:lvl w:ilvl="0" w:tplc="064E2480">
      <w:start w:val="1"/>
      <w:numFmt w:val="chineseCountingThousand"/>
      <w:lvlText w:val="第%1条"/>
      <w:lvlJc w:val="left"/>
      <w:pPr>
        <w:ind w:left="1837"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95904CF"/>
    <w:multiLevelType w:val="hybridMultilevel"/>
    <w:tmpl w:val="283E3E58"/>
    <w:lvl w:ilvl="0" w:tplc="EE3C17B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B3C481A"/>
    <w:multiLevelType w:val="hybridMultilevel"/>
    <w:tmpl w:val="36A01568"/>
    <w:lvl w:ilvl="0" w:tplc="550E922C">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5F017767"/>
    <w:multiLevelType w:val="hybridMultilevel"/>
    <w:tmpl w:val="68D66536"/>
    <w:lvl w:ilvl="0" w:tplc="B67ADE3C">
      <w:start w:val="1"/>
      <w:numFmt w:val="chineseCountingThousand"/>
      <w:lvlText w:val="第%1章"/>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ED7979"/>
    <w:multiLevelType w:val="hybridMultilevel"/>
    <w:tmpl w:val="EF1E1844"/>
    <w:lvl w:ilvl="0" w:tplc="F82C55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D3"/>
    <w:rsid w:val="00001718"/>
    <w:rsid w:val="000025A0"/>
    <w:rsid w:val="00016C48"/>
    <w:rsid w:val="00023640"/>
    <w:rsid w:val="00023E43"/>
    <w:rsid w:val="00033A93"/>
    <w:rsid w:val="00041962"/>
    <w:rsid w:val="00055B90"/>
    <w:rsid w:val="00061F18"/>
    <w:rsid w:val="00073A27"/>
    <w:rsid w:val="00093322"/>
    <w:rsid w:val="000A04CB"/>
    <w:rsid w:val="000B7723"/>
    <w:rsid w:val="000C7441"/>
    <w:rsid w:val="000F682B"/>
    <w:rsid w:val="00120EF2"/>
    <w:rsid w:val="00135534"/>
    <w:rsid w:val="00162960"/>
    <w:rsid w:val="001646A4"/>
    <w:rsid w:val="001702FB"/>
    <w:rsid w:val="00171B07"/>
    <w:rsid w:val="001951B5"/>
    <w:rsid w:val="001A4547"/>
    <w:rsid w:val="001B5B91"/>
    <w:rsid w:val="001B6784"/>
    <w:rsid w:val="001B6AA7"/>
    <w:rsid w:val="001B7B26"/>
    <w:rsid w:val="001F0B0D"/>
    <w:rsid w:val="00227DE3"/>
    <w:rsid w:val="0025145C"/>
    <w:rsid w:val="00251BDC"/>
    <w:rsid w:val="00270468"/>
    <w:rsid w:val="00271C14"/>
    <w:rsid w:val="002813B1"/>
    <w:rsid w:val="00290492"/>
    <w:rsid w:val="002A24B2"/>
    <w:rsid w:val="002A2B6D"/>
    <w:rsid w:val="002E023C"/>
    <w:rsid w:val="0030717D"/>
    <w:rsid w:val="003126F6"/>
    <w:rsid w:val="00313824"/>
    <w:rsid w:val="00316F1F"/>
    <w:rsid w:val="00323187"/>
    <w:rsid w:val="00330EBE"/>
    <w:rsid w:val="0035610B"/>
    <w:rsid w:val="0037676B"/>
    <w:rsid w:val="003941A6"/>
    <w:rsid w:val="003A706E"/>
    <w:rsid w:val="003B533B"/>
    <w:rsid w:val="003C199F"/>
    <w:rsid w:val="003C6B00"/>
    <w:rsid w:val="003D45E9"/>
    <w:rsid w:val="003F54A6"/>
    <w:rsid w:val="003F7815"/>
    <w:rsid w:val="00407BCF"/>
    <w:rsid w:val="0041252B"/>
    <w:rsid w:val="00423BC7"/>
    <w:rsid w:val="00437FA6"/>
    <w:rsid w:val="00442215"/>
    <w:rsid w:val="00466F17"/>
    <w:rsid w:val="004716BA"/>
    <w:rsid w:val="00471DA9"/>
    <w:rsid w:val="0047651D"/>
    <w:rsid w:val="004841DF"/>
    <w:rsid w:val="00484B12"/>
    <w:rsid w:val="00485929"/>
    <w:rsid w:val="004A747E"/>
    <w:rsid w:val="004B3DF9"/>
    <w:rsid w:val="004B5EEB"/>
    <w:rsid w:val="004C5F30"/>
    <w:rsid w:val="004D5AA9"/>
    <w:rsid w:val="004F35F0"/>
    <w:rsid w:val="00506BBF"/>
    <w:rsid w:val="0051327B"/>
    <w:rsid w:val="00525F16"/>
    <w:rsid w:val="00534992"/>
    <w:rsid w:val="0054122B"/>
    <w:rsid w:val="0056041F"/>
    <w:rsid w:val="005748DD"/>
    <w:rsid w:val="0057563E"/>
    <w:rsid w:val="00590D4B"/>
    <w:rsid w:val="00592276"/>
    <w:rsid w:val="00597EC6"/>
    <w:rsid w:val="005A0AD3"/>
    <w:rsid w:val="005A2E89"/>
    <w:rsid w:val="005A5BC6"/>
    <w:rsid w:val="005C3DD3"/>
    <w:rsid w:val="005E23F8"/>
    <w:rsid w:val="00600698"/>
    <w:rsid w:val="0061730C"/>
    <w:rsid w:val="006400BD"/>
    <w:rsid w:val="006513C7"/>
    <w:rsid w:val="0066226F"/>
    <w:rsid w:val="006652E9"/>
    <w:rsid w:val="00667C05"/>
    <w:rsid w:val="006764F1"/>
    <w:rsid w:val="006A2DC4"/>
    <w:rsid w:val="006A5D7D"/>
    <w:rsid w:val="006A76B2"/>
    <w:rsid w:val="006B0872"/>
    <w:rsid w:val="006C681C"/>
    <w:rsid w:val="006D4F98"/>
    <w:rsid w:val="006F3931"/>
    <w:rsid w:val="006F62FF"/>
    <w:rsid w:val="00702E40"/>
    <w:rsid w:val="00706ADC"/>
    <w:rsid w:val="00717C95"/>
    <w:rsid w:val="00753F72"/>
    <w:rsid w:val="007760A9"/>
    <w:rsid w:val="00782CB9"/>
    <w:rsid w:val="00797D25"/>
    <w:rsid w:val="007A1C2F"/>
    <w:rsid w:val="007A46E5"/>
    <w:rsid w:val="007B02C7"/>
    <w:rsid w:val="007B0564"/>
    <w:rsid w:val="007B7C21"/>
    <w:rsid w:val="007C1581"/>
    <w:rsid w:val="007D193E"/>
    <w:rsid w:val="007F47C4"/>
    <w:rsid w:val="007F6E16"/>
    <w:rsid w:val="008107C8"/>
    <w:rsid w:val="008114E8"/>
    <w:rsid w:val="00812499"/>
    <w:rsid w:val="008152B0"/>
    <w:rsid w:val="00824AD6"/>
    <w:rsid w:val="00835970"/>
    <w:rsid w:val="00844A0D"/>
    <w:rsid w:val="00846C0D"/>
    <w:rsid w:val="00892FA0"/>
    <w:rsid w:val="008972BF"/>
    <w:rsid w:val="008C1D97"/>
    <w:rsid w:val="008D2197"/>
    <w:rsid w:val="008E0DD3"/>
    <w:rsid w:val="008E6068"/>
    <w:rsid w:val="00930628"/>
    <w:rsid w:val="0093466C"/>
    <w:rsid w:val="009346DC"/>
    <w:rsid w:val="0096734C"/>
    <w:rsid w:val="009755DE"/>
    <w:rsid w:val="00981A02"/>
    <w:rsid w:val="009B452C"/>
    <w:rsid w:val="009B7F4D"/>
    <w:rsid w:val="009C4E2F"/>
    <w:rsid w:val="009D3BB3"/>
    <w:rsid w:val="009E3D72"/>
    <w:rsid w:val="009E73E5"/>
    <w:rsid w:val="009F5C63"/>
    <w:rsid w:val="00A17002"/>
    <w:rsid w:val="00A26640"/>
    <w:rsid w:val="00A36302"/>
    <w:rsid w:val="00A546BE"/>
    <w:rsid w:val="00A62C41"/>
    <w:rsid w:val="00A7010F"/>
    <w:rsid w:val="00A803C2"/>
    <w:rsid w:val="00A92AAE"/>
    <w:rsid w:val="00AC20E4"/>
    <w:rsid w:val="00AD5179"/>
    <w:rsid w:val="00AD6DFC"/>
    <w:rsid w:val="00AE0374"/>
    <w:rsid w:val="00AE56EA"/>
    <w:rsid w:val="00AF4477"/>
    <w:rsid w:val="00B15078"/>
    <w:rsid w:val="00B44AD2"/>
    <w:rsid w:val="00B460D6"/>
    <w:rsid w:val="00B57D21"/>
    <w:rsid w:val="00B63553"/>
    <w:rsid w:val="00B77940"/>
    <w:rsid w:val="00BB1B33"/>
    <w:rsid w:val="00BB70D1"/>
    <w:rsid w:val="00BD3EF6"/>
    <w:rsid w:val="00BD597B"/>
    <w:rsid w:val="00BE0768"/>
    <w:rsid w:val="00BE7919"/>
    <w:rsid w:val="00BE7EBC"/>
    <w:rsid w:val="00BF0C79"/>
    <w:rsid w:val="00C03B70"/>
    <w:rsid w:val="00C06FE3"/>
    <w:rsid w:val="00C17265"/>
    <w:rsid w:val="00C20798"/>
    <w:rsid w:val="00C250D1"/>
    <w:rsid w:val="00C26ECC"/>
    <w:rsid w:val="00C46414"/>
    <w:rsid w:val="00C47BAA"/>
    <w:rsid w:val="00C50925"/>
    <w:rsid w:val="00C541F9"/>
    <w:rsid w:val="00C5658F"/>
    <w:rsid w:val="00C77FCB"/>
    <w:rsid w:val="00C90C9D"/>
    <w:rsid w:val="00CA599E"/>
    <w:rsid w:val="00CA63A8"/>
    <w:rsid w:val="00CB25C9"/>
    <w:rsid w:val="00CC16C5"/>
    <w:rsid w:val="00CC2881"/>
    <w:rsid w:val="00CC3C40"/>
    <w:rsid w:val="00CD6CDB"/>
    <w:rsid w:val="00CE20E8"/>
    <w:rsid w:val="00CF100B"/>
    <w:rsid w:val="00D249FA"/>
    <w:rsid w:val="00D30E8F"/>
    <w:rsid w:val="00D37368"/>
    <w:rsid w:val="00D63A8D"/>
    <w:rsid w:val="00D66050"/>
    <w:rsid w:val="00D74F21"/>
    <w:rsid w:val="00D77947"/>
    <w:rsid w:val="00D829A3"/>
    <w:rsid w:val="00D94148"/>
    <w:rsid w:val="00DA012B"/>
    <w:rsid w:val="00DB36FB"/>
    <w:rsid w:val="00DC2114"/>
    <w:rsid w:val="00DD06BE"/>
    <w:rsid w:val="00DE4137"/>
    <w:rsid w:val="00DF1B7D"/>
    <w:rsid w:val="00DF5E37"/>
    <w:rsid w:val="00DF7CC4"/>
    <w:rsid w:val="00E23BFC"/>
    <w:rsid w:val="00E373FB"/>
    <w:rsid w:val="00E84FA6"/>
    <w:rsid w:val="00EA55D9"/>
    <w:rsid w:val="00EA6024"/>
    <w:rsid w:val="00EA7251"/>
    <w:rsid w:val="00EE20DB"/>
    <w:rsid w:val="00F024FE"/>
    <w:rsid w:val="00F22305"/>
    <w:rsid w:val="00F23706"/>
    <w:rsid w:val="00F2387F"/>
    <w:rsid w:val="00F32A63"/>
    <w:rsid w:val="00F4459D"/>
    <w:rsid w:val="00F55017"/>
    <w:rsid w:val="00F702DC"/>
    <w:rsid w:val="00F72301"/>
    <w:rsid w:val="00F87600"/>
    <w:rsid w:val="00F87826"/>
    <w:rsid w:val="00F9437B"/>
    <w:rsid w:val="00FB0698"/>
    <w:rsid w:val="00FB1921"/>
    <w:rsid w:val="00FB1B77"/>
    <w:rsid w:val="00FB3A77"/>
    <w:rsid w:val="00FE7263"/>
    <w:rsid w:val="00FF5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51C7C-E6EA-446C-ACDE-4BE9FB75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AD3"/>
    <w:pPr>
      <w:widowControl w:val="0"/>
      <w:spacing w:line="360" w:lineRule="auto"/>
      <w:ind w:firstLineChars="200" w:firstLine="20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91"/>
    <w:pPr>
      <w:ind w:firstLine="420"/>
    </w:pPr>
  </w:style>
  <w:style w:type="paragraph" w:styleId="a4">
    <w:name w:val="Balloon Text"/>
    <w:basedOn w:val="a"/>
    <w:link w:val="a5"/>
    <w:uiPriority w:val="99"/>
    <w:semiHidden/>
    <w:unhideWhenUsed/>
    <w:rsid w:val="003B533B"/>
    <w:pPr>
      <w:spacing w:line="240" w:lineRule="auto"/>
    </w:pPr>
    <w:rPr>
      <w:sz w:val="18"/>
      <w:szCs w:val="18"/>
    </w:rPr>
  </w:style>
  <w:style w:type="character" w:customStyle="1" w:styleId="a5">
    <w:name w:val="批注框文本 字符"/>
    <w:basedOn w:val="a0"/>
    <w:link w:val="a4"/>
    <w:uiPriority w:val="99"/>
    <w:semiHidden/>
    <w:rsid w:val="003B533B"/>
    <w:rPr>
      <w:rFonts w:eastAsia="仿宋"/>
      <w:sz w:val="18"/>
      <w:szCs w:val="18"/>
    </w:rPr>
  </w:style>
  <w:style w:type="paragraph" w:styleId="a6">
    <w:name w:val="header"/>
    <w:basedOn w:val="a"/>
    <w:link w:val="a7"/>
    <w:uiPriority w:val="99"/>
    <w:unhideWhenUsed/>
    <w:rsid w:val="00981A02"/>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981A02"/>
    <w:rPr>
      <w:rFonts w:eastAsia="仿宋"/>
      <w:sz w:val="18"/>
      <w:szCs w:val="18"/>
    </w:rPr>
  </w:style>
  <w:style w:type="paragraph" w:styleId="a8">
    <w:name w:val="footer"/>
    <w:basedOn w:val="a"/>
    <w:link w:val="a9"/>
    <w:uiPriority w:val="99"/>
    <w:unhideWhenUsed/>
    <w:rsid w:val="00981A02"/>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981A02"/>
    <w:rPr>
      <w:rFonts w:eastAsia="仿宋"/>
      <w:sz w:val="18"/>
      <w:szCs w:val="18"/>
    </w:rPr>
  </w:style>
  <w:style w:type="paragraph" w:customStyle="1" w:styleId="aa">
    <w:name w:val="金交所缩进正文"/>
    <w:basedOn w:val="a"/>
    <w:qFormat/>
    <w:rsid w:val="003D45E9"/>
    <w:pPr>
      <w:autoSpaceDE w:val="0"/>
      <w:autoSpaceDN w:val="0"/>
      <w:snapToGrid w:val="0"/>
      <w:spacing w:line="560" w:lineRule="atLeast"/>
      <w:ind w:firstLineChars="0" w:firstLine="624"/>
    </w:pPr>
    <w:rPr>
      <w:rFonts w:ascii="仿宋" w:hAnsi="仿宋" w:cs="Times New Roman"/>
      <w:snapToGrid w:val="0"/>
      <w:kern w:val="0"/>
      <w:szCs w:val="32"/>
    </w:rPr>
  </w:style>
  <w:style w:type="paragraph" w:styleId="ab">
    <w:name w:val="Date"/>
    <w:basedOn w:val="a"/>
    <w:next w:val="a"/>
    <w:link w:val="ac"/>
    <w:uiPriority w:val="99"/>
    <w:semiHidden/>
    <w:unhideWhenUsed/>
    <w:rsid w:val="003D45E9"/>
    <w:pPr>
      <w:ind w:leftChars="2500" w:left="100"/>
    </w:pPr>
  </w:style>
  <w:style w:type="character" w:customStyle="1" w:styleId="ac">
    <w:name w:val="日期 字符"/>
    <w:basedOn w:val="a0"/>
    <w:link w:val="ab"/>
    <w:uiPriority w:val="99"/>
    <w:semiHidden/>
    <w:rsid w:val="003D45E9"/>
    <w:rPr>
      <w:rFonts w:eastAsia="仿宋"/>
      <w:sz w:val="32"/>
    </w:rPr>
  </w:style>
  <w:style w:type="table" w:styleId="ad">
    <w:name w:val="Table Grid"/>
    <w:basedOn w:val="a1"/>
    <w:uiPriority w:val="39"/>
    <w:rsid w:val="003D45E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3D45E9"/>
    <w:pPr>
      <w:spacing w:before="240" w:after="60" w:line="240" w:lineRule="auto"/>
      <w:ind w:firstLineChars="0" w:firstLine="0"/>
      <w:jc w:val="center"/>
      <w:outlineLvl w:val="0"/>
    </w:pPr>
    <w:rPr>
      <w:rFonts w:asciiTheme="majorHAnsi" w:eastAsiaTheme="majorEastAsia" w:hAnsiTheme="majorHAnsi" w:cstheme="majorBidi"/>
      <w:b/>
      <w:bCs/>
      <w:szCs w:val="32"/>
    </w:rPr>
  </w:style>
  <w:style w:type="character" w:customStyle="1" w:styleId="af">
    <w:name w:val="标题 字符"/>
    <w:basedOn w:val="a0"/>
    <w:link w:val="ae"/>
    <w:uiPriority w:val="10"/>
    <w:rsid w:val="003D45E9"/>
    <w:rPr>
      <w:rFonts w:asciiTheme="majorHAnsi" w:eastAsiaTheme="majorEastAsia" w:hAnsiTheme="majorHAnsi" w:cstheme="majorBidi"/>
      <w:b/>
      <w:bCs/>
      <w:sz w:val="32"/>
      <w:szCs w:val="32"/>
    </w:rPr>
  </w:style>
  <w:style w:type="paragraph" w:customStyle="1" w:styleId="Default">
    <w:name w:val="Default"/>
    <w:qFormat/>
    <w:rsid w:val="003D45E9"/>
    <w:pPr>
      <w:widowControl w:val="0"/>
      <w:autoSpaceDE w:val="0"/>
      <w:autoSpaceDN w:val="0"/>
      <w:adjustRightInd w:val="0"/>
    </w:pPr>
    <w:rPr>
      <w:rFonts w:ascii="宋体" w:eastAsia="宋体" w:hAnsi="Calibri" w:cs="宋体"/>
      <w:color w:val="000000"/>
      <w:kern w:val="0"/>
      <w:sz w:val="24"/>
      <w:szCs w:val="24"/>
    </w:rPr>
  </w:style>
  <w:style w:type="character" w:styleId="af0">
    <w:name w:val="Hyperlink"/>
    <w:basedOn w:val="a0"/>
    <w:uiPriority w:val="99"/>
    <w:unhideWhenUsed/>
    <w:rsid w:val="003C199F"/>
    <w:rPr>
      <w:color w:val="0563C1" w:themeColor="hyperlink"/>
      <w:u w:val="single"/>
    </w:rPr>
  </w:style>
  <w:style w:type="character" w:styleId="af1">
    <w:name w:val="FollowedHyperlink"/>
    <w:basedOn w:val="a0"/>
    <w:uiPriority w:val="99"/>
    <w:semiHidden/>
    <w:unhideWhenUsed/>
    <w:rsid w:val="000A04CB"/>
    <w:rPr>
      <w:color w:val="954F72"/>
      <w:u w:val="single"/>
    </w:rPr>
  </w:style>
  <w:style w:type="paragraph" w:customStyle="1" w:styleId="msonormal0">
    <w:name w:val="msonormal"/>
    <w:basedOn w:val="a"/>
    <w:rsid w:val="000A04CB"/>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rsid w:val="000A04CB"/>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rsid w:val="000A04CB"/>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7">
    <w:name w:val="font7"/>
    <w:basedOn w:val="a"/>
    <w:rsid w:val="000A04CB"/>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6">
    <w:name w:val="xl6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67">
    <w:name w:val="xl6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68">
    <w:name w:val="xl6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69">
    <w:name w:val="xl6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70">
    <w:name w:val="xl7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1">
    <w:name w:val="xl7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2">
    <w:name w:val="xl7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3">
    <w:name w:val="xl73"/>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4">
    <w:name w:val="xl7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5">
    <w:name w:val="xl75"/>
    <w:basedOn w:val="a"/>
    <w:rsid w:val="000A04CB"/>
    <w:pPr>
      <w:widowControl/>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6">
    <w:name w:val="xl7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77">
    <w:name w:val="xl7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78">
    <w:name w:val="xl7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79">
    <w:name w:val="xl7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0">
    <w:name w:val="xl8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1">
    <w:name w:val="xl8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2">
    <w:name w:val="xl8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83">
    <w:name w:val="xl83"/>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84">
    <w:name w:val="xl8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5">
    <w:name w:val="xl85"/>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86">
    <w:name w:val="xl86"/>
    <w:basedOn w:val="a"/>
    <w:rsid w:val="000A04CB"/>
    <w:pPr>
      <w:widowControl/>
      <w:spacing w:before="100" w:beforeAutospacing="1" w:after="100" w:afterAutospacing="1" w:line="240" w:lineRule="auto"/>
      <w:ind w:firstLineChars="0" w:firstLine="0"/>
      <w:jc w:val="center"/>
    </w:pPr>
    <w:rPr>
      <w:rFonts w:ascii="黑体" w:eastAsia="黑体" w:hAnsi="黑体" w:cs="宋体"/>
      <w:kern w:val="0"/>
      <w:sz w:val="24"/>
      <w:szCs w:val="24"/>
    </w:rPr>
  </w:style>
  <w:style w:type="paragraph" w:customStyle="1" w:styleId="xl87">
    <w:name w:val="xl87"/>
    <w:basedOn w:val="a"/>
    <w:rsid w:val="000A04CB"/>
    <w:pPr>
      <w:widowControl/>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88">
    <w:name w:val="xl88"/>
    <w:basedOn w:val="a"/>
    <w:rsid w:val="000A04CB"/>
    <w:pPr>
      <w:widowControl/>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89">
    <w:name w:val="xl89"/>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90">
    <w:name w:val="xl9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91">
    <w:name w:val="xl9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2">
    <w:name w:val="xl9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93">
    <w:name w:val="xl93"/>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94">
    <w:name w:val="xl9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5">
    <w:name w:val="xl95"/>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96">
    <w:name w:val="xl9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7">
    <w:name w:val="xl9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8">
    <w:name w:val="xl9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9">
    <w:name w:val="xl9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00">
    <w:name w:val="xl10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01">
    <w:name w:val="xl10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102">
    <w:name w:val="xl102"/>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3">
    <w:name w:val="xl103"/>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4">
    <w:name w:val="xl10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5">
    <w:name w:val="xl105"/>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6">
    <w:name w:val="xl106"/>
    <w:basedOn w:val="a"/>
    <w:rsid w:val="000A04CB"/>
    <w:pPr>
      <w:widowControl/>
      <w:pBdr>
        <w:top w:val="single" w:sz="4" w:space="0" w:color="auto"/>
        <w:left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7">
    <w:name w:val="xl107"/>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8">
    <w:name w:val="xl108"/>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9">
    <w:name w:val="xl10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0">
    <w:name w:val="xl110"/>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11">
    <w:name w:val="xl11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2">
    <w:name w:val="xl11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3">
    <w:name w:val="xl11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4">
    <w:name w:val="xl11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5">
    <w:name w:val="xl115"/>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6">
    <w:name w:val="xl116"/>
    <w:basedOn w:val="a"/>
    <w:rsid w:val="000A04CB"/>
    <w:pPr>
      <w:widowControl/>
      <w:pBdr>
        <w:top w:val="single" w:sz="8" w:space="0" w:color="auto"/>
        <w:left w:val="single" w:sz="8"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17">
    <w:name w:val="xl117"/>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8">
    <w:name w:val="xl118"/>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19">
    <w:name w:val="xl119"/>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0">
    <w:name w:val="xl120"/>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1">
    <w:name w:val="xl121"/>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right"/>
    </w:pPr>
    <w:rPr>
      <w:rFonts w:ascii="FangSong" w:eastAsia="FangSong" w:hAnsi="FangSong" w:cs="宋体"/>
      <w:b/>
      <w:bCs/>
      <w:kern w:val="0"/>
      <w:sz w:val="24"/>
      <w:szCs w:val="24"/>
    </w:rPr>
  </w:style>
  <w:style w:type="paragraph" w:customStyle="1" w:styleId="xl122">
    <w:name w:val="xl122"/>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3">
    <w:name w:val="xl123"/>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124">
    <w:name w:val="xl124"/>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5">
    <w:name w:val="xl125"/>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6">
    <w:name w:val="xl126"/>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27">
    <w:name w:val="xl127"/>
    <w:basedOn w:val="a"/>
    <w:rsid w:val="000A04CB"/>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8">
    <w:name w:val="xl128"/>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129">
    <w:name w:val="xl129"/>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0">
    <w:name w:val="xl130"/>
    <w:basedOn w:val="a"/>
    <w:rsid w:val="000A04CB"/>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1">
    <w:name w:val="xl13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2">
    <w:name w:val="xl13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3">
    <w:name w:val="xl133"/>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4">
    <w:name w:val="xl134"/>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5">
    <w:name w:val="xl135"/>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36">
    <w:name w:val="xl136"/>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37">
    <w:name w:val="xl137"/>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8">
    <w:name w:val="xl138"/>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9">
    <w:name w:val="xl139"/>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40">
    <w:name w:val="xl140"/>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1">
    <w:name w:val="xl14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FangSong" w:eastAsia="FangSong" w:hAnsi="FangSong" w:cs="宋体"/>
      <w:color w:val="000000"/>
      <w:kern w:val="0"/>
      <w:sz w:val="24"/>
      <w:szCs w:val="24"/>
    </w:rPr>
  </w:style>
  <w:style w:type="paragraph" w:customStyle="1" w:styleId="xl142">
    <w:name w:val="xl14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3">
    <w:name w:val="xl14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44">
    <w:name w:val="xl144"/>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5">
    <w:name w:val="xl145"/>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color w:val="000000"/>
      <w:kern w:val="0"/>
      <w:sz w:val="24"/>
      <w:szCs w:val="24"/>
    </w:rPr>
  </w:style>
  <w:style w:type="paragraph" w:customStyle="1" w:styleId="xl146">
    <w:name w:val="xl146"/>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47">
    <w:name w:val="xl147"/>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48">
    <w:name w:val="xl148"/>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49">
    <w:name w:val="xl149"/>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0">
    <w:name w:val="xl150"/>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1">
    <w:name w:val="xl151"/>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2">
    <w:name w:val="xl152"/>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3">
    <w:name w:val="xl15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4">
    <w:name w:val="xl154"/>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5">
    <w:name w:val="xl155"/>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6">
    <w:name w:val="xl156"/>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7">
    <w:name w:val="xl157"/>
    <w:basedOn w:val="a"/>
    <w:rsid w:val="000A04CB"/>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8">
    <w:name w:val="xl158"/>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9">
    <w:name w:val="xl159"/>
    <w:basedOn w:val="a"/>
    <w:rsid w:val="000A04CB"/>
    <w:pPr>
      <w:widowControl/>
      <w:pBdr>
        <w:left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8"/>
      <w:szCs w:val="28"/>
    </w:rPr>
  </w:style>
  <w:style w:type="paragraph" w:customStyle="1" w:styleId="xl160">
    <w:name w:val="xl160"/>
    <w:basedOn w:val="a"/>
    <w:rsid w:val="000A04CB"/>
    <w:pPr>
      <w:widowControl/>
      <w:pBdr>
        <w:left w:val="single" w:sz="8"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8"/>
      <w:szCs w:val="28"/>
    </w:rPr>
  </w:style>
  <w:style w:type="paragraph" w:customStyle="1" w:styleId="xl161">
    <w:name w:val="xl16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2">
    <w:name w:val="xl16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3">
    <w:name w:val="xl163"/>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4">
    <w:name w:val="xl164"/>
    <w:basedOn w:val="a"/>
    <w:rsid w:val="000A04CB"/>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36"/>
      <w:szCs w:val="36"/>
    </w:rPr>
  </w:style>
  <w:style w:type="paragraph" w:customStyle="1" w:styleId="xl165">
    <w:name w:val="xl165"/>
    <w:basedOn w:val="a"/>
    <w:rsid w:val="000A04CB"/>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黑体" w:eastAsia="黑体" w:hAnsi="黑体" w:cs="宋体"/>
      <w:kern w:val="0"/>
      <w:sz w:val="36"/>
      <w:szCs w:val="36"/>
    </w:rPr>
  </w:style>
  <w:style w:type="paragraph" w:customStyle="1" w:styleId="xl166">
    <w:name w:val="xl166"/>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67">
    <w:name w:val="xl167"/>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68">
    <w:name w:val="xl168"/>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69">
    <w:name w:val="xl169"/>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70">
    <w:name w:val="xl170"/>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character" w:styleId="af2">
    <w:name w:val="annotation reference"/>
    <w:basedOn w:val="a0"/>
    <w:uiPriority w:val="99"/>
    <w:semiHidden/>
    <w:unhideWhenUsed/>
    <w:rsid w:val="000A04CB"/>
    <w:rPr>
      <w:sz w:val="21"/>
      <w:szCs w:val="21"/>
    </w:rPr>
  </w:style>
  <w:style w:type="paragraph" w:styleId="af3">
    <w:name w:val="annotation text"/>
    <w:basedOn w:val="a"/>
    <w:link w:val="af4"/>
    <w:uiPriority w:val="99"/>
    <w:semiHidden/>
    <w:unhideWhenUsed/>
    <w:rsid w:val="000A04CB"/>
    <w:pPr>
      <w:jc w:val="left"/>
    </w:pPr>
  </w:style>
  <w:style w:type="character" w:customStyle="1" w:styleId="af4">
    <w:name w:val="批注文字 字符"/>
    <w:basedOn w:val="a0"/>
    <w:link w:val="af3"/>
    <w:uiPriority w:val="99"/>
    <w:semiHidden/>
    <w:rsid w:val="000A04CB"/>
    <w:rPr>
      <w:rFonts w:eastAsia="仿宋"/>
      <w:sz w:val="32"/>
    </w:rPr>
  </w:style>
  <w:style w:type="paragraph" w:styleId="af5">
    <w:name w:val="annotation subject"/>
    <w:basedOn w:val="af3"/>
    <w:next w:val="af3"/>
    <w:link w:val="af6"/>
    <w:uiPriority w:val="99"/>
    <w:semiHidden/>
    <w:unhideWhenUsed/>
    <w:rsid w:val="000A04CB"/>
    <w:rPr>
      <w:b/>
      <w:bCs/>
    </w:rPr>
  </w:style>
  <w:style w:type="character" w:customStyle="1" w:styleId="af6">
    <w:name w:val="批注主题 字符"/>
    <w:basedOn w:val="af4"/>
    <w:link w:val="af5"/>
    <w:uiPriority w:val="99"/>
    <w:semiHidden/>
    <w:rsid w:val="000A04CB"/>
    <w:rPr>
      <w:rFonts w:eastAsia="仿宋"/>
      <w:b/>
      <w:bCs/>
      <w:sz w:val="32"/>
    </w:rPr>
  </w:style>
  <w:style w:type="character" w:styleId="af7">
    <w:name w:val="page number"/>
    <w:basedOn w:val="a0"/>
    <w:rsid w:val="008972BF"/>
  </w:style>
  <w:style w:type="paragraph" w:customStyle="1" w:styleId="af8">
    <w:name w:val="抄送栏"/>
    <w:basedOn w:val="a"/>
    <w:rsid w:val="008972BF"/>
    <w:pPr>
      <w:autoSpaceDE w:val="0"/>
      <w:autoSpaceDN w:val="0"/>
      <w:adjustRightInd w:val="0"/>
      <w:spacing w:line="454" w:lineRule="atLeast"/>
      <w:ind w:left="1310" w:right="357" w:firstLineChars="0" w:hanging="953"/>
    </w:pPr>
    <w:rPr>
      <w:rFonts w:ascii="仿宋" w:hAnsi="仿宋" w:cs="Times New Roman"/>
      <w:snapToGrid w:val="0"/>
      <w:kern w:val="0"/>
      <w:szCs w:val="32"/>
    </w:rPr>
  </w:style>
  <w:style w:type="paragraph" w:customStyle="1" w:styleId="af9">
    <w:name w:val="线型"/>
    <w:basedOn w:val="af8"/>
    <w:rsid w:val="008972BF"/>
    <w:pPr>
      <w:spacing w:line="240" w:lineRule="auto"/>
      <w:ind w:left="0" w:firstLine="0"/>
      <w:jc w:val="center"/>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6878-73BC-4FED-80F0-ADA7609E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龚致远</dc:creator>
  <cp:keywords/>
  <dc:description/>
  <cp:lastModifiedBy>龚致远</cp:lastModifiedBy>
  <cp:revision>8</cp:revision>
  <cp:lastPrinted>2019-07-22T01:37:00Z</cp:lastPrinted>
  <dcterms:created xsi:type="dcterms:W3CDTF">2019-07-03T07:31:00Z</dcterms:created>
  <dcterms:modified xsi:type="dcterms:W3CDTF">2019-07-22T06:17:00Z</dcterms:modified>
</cp:coreProperties>
</file>